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CBB3" w14:textId="77777777" w:rsidR="005D34F9" w:rsidRDefault="005D34F9" w:rsidP="005D34F9">
      <w:pPr>
        <w:spacing w:line="360" w:lineRule="auto"/>
        <w:jc w:val="both"/>
        <w:rPr>
          <w:rFonts w:ascii="Brush Script MT" w:eastAsia="Calibri" w:hAnsi="Brush Script MT" w:cs="MV Boli"/>
          <w:b/>
          <w:sz w:val="40"/>
          <w:lang w:eastAsia="fr-FR"/>
        </w:rPr>
      </w:pPr>
    </w:p>
    <w:p w14:paraId="5E0E5FF4" w14:textId="0DF0F63B" w:rsidR="005D34F9" w:rsidRDefault="005D34F9" w:rsidP="005D34F9">
      <w:pPr>
        <w:spacing w:line="360" w:lineRule="auto"/>
        <w:jc w:val="both"/>
        <w:rPr>
          <w:rFonts w:ascii="Brush Script MT" w:eastAsia="Calibri" w:hAnsi="Brush Script MT" w:cs="MV Boli"/>
          <w:b/>
          <w:sz w:val="40"/>
          <w:lang w:eastAsia="fr-FR"/>
        </w:rPr>
      </w:pPr>
    </w:p>
    <w:p w14:paraId="7022DCB2" w14:textId="77777777" w:rsidR="00C53DB8" w:rsidRDefault="00C53DB8" w:rsidP="005D34F9">
      <w:pPr>
        <w:spacing w:line="360" w:lineRule="auto"/>
        <w:jc w:val="both"/>
        <w:rPr>
          <w:rFonts w:ascii="Brush Script MT" w:eastAsia="Calibri" w:hAnsi="Brush Script MT" w:cs="MV Boli"/>
          <w:b/>
          <w:sz w:val="40"/>
          <w:lang w:eastAsia="fr-FR"/>
        </w:rPr>
      </w:pPr>
    </w:p>
    <w:p w14:paraId="6883E9E2" w14:textId="77777777" w:rsidR="005D34F9" w:rsidRDefault="005D34F9" w:rsidP="005D34F9">
      <w:pPr>
        <w:spacing w:line="360" w:lineRule="auto"/>
        <w:jc w:val="both"/>
        <w:rPr>
          <w:rFonts w:ascii="Brush Script MT" w:eastAsia="Calibri" w:hAnsi="Brush Script MT" w:cs="MV Boli"/>
          <w:b/>
          <w:sz w:val="40"/>
          <w:lang w:eastAsia="fr-FR"/>
        </w:rPr>
      </w:pPr>
    </w:p>
    <w:p w14:paraId="27B05F91" w14:textId="18934C1B" w:rsidR="005D34F9" w:rsidRPr="00C53DB8" w:rsidRDefault="00C53DB8" w:rsidP="00C53DB8">
      <w:pPr>
        <w:spacing w:line="360" w:lineRule="auto"/>
        <w:jc w:val="center"/>
        <w:rPr>
          <w:rFonts w:ascii="Century Gothic" w:eastAsia="Calibri" w:hAnsi="Century Gothic" w:cs="MV Boli"/>
          <w:b/>
          <w:sz w:val="40"/>
          <w:lang w:eastAsia="fr-FR"/>
        </w:rPr>
      </w:pPr>
      <w:r w:rsidRPr="00C53DB8">
        <w:rPr>
          <w:rFonts w:ascii="Century Gothic" w:eastAsia="Calibri" w:hAnsi="Century Gothic" w:cs="MV Boli"/>
          <w:b/>
          <w:sz w:val="40"/>
          <w:lang w:eastAsia="fr-FR"/>
        </w:rPr>
        <w:t xml:space="preserve">GESTION </w:t>
      </w:r>
      <w:r w:rsidR="005B7B85">
        <w:rPr>
          <w:rFonts w:ascii="Century Gothic" w:eastAsia="Calibri" w:hAnsi="Century Gothic" w:cs="MV Boli"/>
          <w:b/>
          <w:sz w:val="40"/>
          <w:lang w:eastAsia="fr-FR"/>
        </w:rPr>
        <w:t xml:space="preserve">DE </w:t>
      </w:r>
      <w:r w:rsidR="005B7B85" w:rsidRPr="005B7B85">
        <w:rPr>
          <w:rFonts w:ascii="Century Gothic" w:eastAsia="Calibri" w:hAnsi="Century Gothic" w:cs="MV Boli"/>
          <w:b/>
          <w:sz w:val="40"/>
          <w:lang w:eastAsia="fr-FR"/>
        </w:rPr>
        <w:t>CRISE AUTOUR DES DONNEES PERSONNELLES (FUITE, CYBERATTAQUE, ETC.)</w:t>
      </w:r>
    </w:p>
    <w:p w14:paraId="344EF6B2" w14:textId="17CB2A1F" w:rsidR="005D34F9" w:rsidRDefault="005D34F9" w:rsidP="005D34F9">
      <w:pPr>
        <w:spacing w:line="360" w:lineRule="auto"/>
        <w:jc w:val="both"/>
        <w:rPr>
          <w:rFonts w:ascii="Brush Script MT" w:eastAsia="Calibri" w:hAnsi="Brush Script MT" w:cs="MV Boli"/>
          <w:b/>
          <w:sz w:val="40"/>
          <w:lang w:eastAsia="fr-FR"/>
        </w:rPr>
      </w:pPr>
    </w:p>
    <w:p w14:paraId="681B9C29" w14:textId="0642B3E1" w:rsidR="00C53DB8" w:rsidRDefault="00C53DB8" w:rsidP="005D34F9">
      <w:pPr>
        <w:spacing w:line="360" w:lineRule="auto"/>
        <w:jc w:val="both"/>
        <w:rPr>
          <w:rFonts w:ascii="Brush Script MT" w:eastAsia="Calibri" w:hAnsi="Brush Script MT" w:cs="MV Boli"/>
          <w:b/>
          <w:sz w:val="40"/>
          <w:lang w:eastAsia="fr-FR"/>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C53DB8" w:rsidRPr="00564868" w14:paraId="262FAA03" w14:textId="77777777" w:rsidTr="006552BF">
        <w:trPr>
          <w:jc w:val="center"/>
        </w:trPr>
        <w:tc>
          <w:tcPr>
            <w:tcW w:w="9204" w:type="dxa"/>
            <w:gridSpan w:val="2"/>
            <w:shd w:val="clear" w:color="auto" w:fill="FF0000"/>
            <w:tcMar>
              <w:top w:w="100" w:type="dxa"/>
              <w:left w:w="100" w:type="dxa"/>
              <w:bottom w:w="100" w:type="dxa"/>
              <w:right w:w="100" w:type="dxa"/>
            </w:tcMar>
          </w:tcPr>
          <w:p w14:paraId="140BDD26" w14:textId="77777777" w:rsidR="00C53DB8" w:rsidRPr="00432B67" w:rsidRDefault="00C53DB8" w:rsidP="006552BF">
            <w:pPr>
              <w:pStyle w:val="Normal1"/>
              <w:shd w:val="clear" w:color="auto" w:fill="FF0000"/>
              <w:spacing w:after="0" w:line="360" w:lineRule="auto"/>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Revision History</w:t>
            </w:r>
          </w:p>
        </w:tc>
      </w:tr>
      <w:tr w:rsidR="00C53DB8" w:rsidRPr="00564868" w14:paraId="1E9E0773" w14:textId="77777777" w:rsidTr="006552BF">
        <w:trPr>
          <w:jc w:val="center"/>
        </w:trPr>
        <w:tc>
          <w:tcPr>
            <w:tcW w:w="1785" w:type="dxa"/>
            <w:shd w:val="clear" w:color="auto" w:fill="auto"/>
            <w:tcMar>
              <w:top w:w="100" w:type="dxa"/>
              <w:left w:w="100" w:type="dxa"/>
              <w:bottom w:w="100" w:type="dxa"/>
              <w:right w:w="100" w:type="dxa"/>
            </w:tcMar>
          </w:tcPr>
          <w:p w14:paraId="0D99F934" w14:textId="77777777" w:rsidR="00C53DB8" w:rsidRPr="00564868" w:rsidRDefault="00C53DB8" w:rsidP="006552BF">
            <w:pPr>
              <w:pStyle w:val="Normal1"/>
              <w:spacing w:after="0" w:line="360" w:lineRule="auto"/>
              <w:rPr>
                <w:rFonts w:ascii="Century Gothic" w:hAnsi="Century Gothic" w:cstheme="minorHAnsi"/>
                <w:sz w:val="24"/>
                <w:szCs w:val="24"/>
              </w:rPr>
            </w:pPr>
            <w:r w:rsidRPr="00564868">
              <w:rPr>
                <w:rFonts w:ascii="Century Gothic" w:hAnsi="Century Gothic" w:cstheme="minorHAnsi"/>
                <w:sz w:val="24"/>
                <w:szCs w:val="24"/>
              </w:rPr>
              <w:t>Last updated</w:t>
            </w:r>
          </w:p>
        </w:tc>
        <w:tc>
          <w:tcPr>
            <w:tcW w:w="7419" w:type="dxa"/>
            <w:shd w:val="clear" w:color="auto" w:fill="auto"/>
            <w:tcMar>
              <w:top w:w="100" w:type="dxa"/>
              <w:left w:w="100" w:type="dxa"/>
              <w:bottom w:w="100" w:type="dxa"/>
              <w:right w:w="100" w:type="dxa"/>
            </w:tcMar>
          </w:tcPr>
          <w:p w14:paraId="66F9F7A3" w14:textId="77777777" w:rsidR="00C53DB8" w:rsidRPr="00564868" w:rsidRDefault="00C53DB8" w:rsidP="006552BF">
            <w:pPr>
              <w:pStyle w:val="Normal1"/>
              <w:spacing w:after="0" w:line="360" w:lineRule="auto"/>
              <w:rPr>
                <w:rFonts w:ascii="Century Gothic" w:hAnsi="Century Gothic" w:cstheme="minorHAnsi"/>
                <w:sz w:val="24"/>
                <w:szCs w:val="24"/>
                <w:lang w:val="en-US"/>
              </w:rPr>
            </w:pPr>
            <w:r>
              <w:rPr>
                <w:rFonts w:ascii="Century Gothic" w:hAnsi="Century Gothic" w:cstheme="minorHAnsi"/>
                <w:sz w:val="24"/>
                <w:szCs w:val="24"/>
                <w:lang w:val="en-US"/>
              </w:rPr>
              <w:t>Janvier</w:t>
            </w:r>
            <w:r w:rsidRPr="00564868">
              <w:rPr>
                <w:rFonts w:ascii="Century Gothic" w:hAnsi="Century Gothic" w:cstheme="minorHAnsi"/>
                <w:sz w:val="24"/>
                <w:szCs w:val="24"/>
                <w:lang w:val="en-US"/>
              </w:rPr>
              <w:t xml:space="preserve"> 202</w:t>
            </w:r>
            <w:r>
              <w:rPr>
                <w:rFonts w:ascii="Century Gothic" w:hAnsi="Century Gothic" w:cstheme="minorHAnsi"/>
                <w:sz w:val="24"/>
                <w:szCs w:val="24"/>
                <w:lang w:val="en-US"/>
              </w:rPr>
              <w:t>1</w:t>
            </w:r>
          </w:p>
        </w:tc>
      </w:tr>
    </w:tbl>
    <w:p w14:paraId="47FB7031" w14:textId="77777777" w:rsidR="00C53DB8" w:rsidRDefault="00C53DB8" w:rsidP="005D34F9">
      <w:pPr>
        <w:spacing w:line="360" w:lineRule="auto"/>
        <w:jc w:val="both"/>
        <w:rPr>
          <w:rFonts w:ascii="Brush Script MT" w:eastAsia="Calibri" w:hAnsi="Brush Script MT" w:cs="MV Boli"/>
          <w:b/>
          <w:sz w:val="40"/>
          <w:lang w:eastAsia="fr-FR"/>
        </w:rPr>
      </w:pPr>
    </w:p>
    <w:p w14:paraId="545AED45" w14:textId="77777777" w:rsidR="005D34F9" w:rsidRDefault="005D34F9" w:rsidP="005D34F9">
      <w:pPr>
        <w:spacing w:line="360" w:lineRule="auto"/>
        <w:jc w:val="both"/>
        <w:rPr>
          <w:rFonts w:ascii="Brush Script MT" w:eastAsia="Calibri" w:hAnsi="Brush Script MT" w:cs="MV Boli"/>
          <w:b/>
          <w:sz w:val="40"/>
          <w:lang w:eastAsia="fr-FR"/>
        </w:rPr>
      </w:pPr>
    </w:p>
    <w:p w14:paraId="3F4D4B68" w14:textId="77777777" w:rsidR="005D34F9" w:rsidRDefault="005D34F9" w:rsidP="005D34F9">
      <w:pPr>
        <w:spacing w:line="360" w:lineRule="auto"/>
        <w:jc w:val="both"/>
        <w:rPr>
          <w:rFonts w:ascii="Brush Script MT" w:eastAsia="Calibri" w:hAnsi="Brush Script MT" w:cs="MV Boli"/>
          <w:b/>
          <w:sz w:val="40"/>
          <w:lang w:eastAsia="fr-FR"/>
        </w:rPr>
      </w:pPr>
    </w:p>
    <w:p w14:paraId="1352985F" w14:textId="5DD1123E" w:rsidR="005D34F9" w:rsidRDefault="005D34F9" w:rsidP="005D34F9">
      <w:pPr>
        <w:spacing w:line="360" w:lineRule="auto"/>
        <w:jc w:val="both"/>
        <w:rPr>
          <w:rFonts w:ascii="Brush Script MT" w:eastAsia="Calibri" w:hAnsi="Brush Script MT" w:cs="MV Boli"/>
          <w:b/>
          <w:sz w:val="40"/>
          <w:lang w:eastAsia="fr-FR"/>
        </w:rPr>
      </w:pPr>
    </w:p>
    <w:p w14:paraId="38B5B1E3" w14:textId="2D761161" w:rsidR="0008076C" w:rsidRDefault="0008076C" w:rsidP="005D34F9">
      <w:pPr>
        <w:spacing w:line="360" w:lineRule="auto"/>
        <w:jc w:val="both"/>
        <w:rPr>
          <w:rFonts w:ascii="Brush Script MT" w:eastAsia="Calibri" w:hAnsi="Brush Script MT" w:cs="MV Boli"/>
          <w:b/>
          <w:sz w:val="40"/>
          <w:lang w:eastAsia="fr-FR"/>
        </w:rPr>
      </w:pPr>
    </w:p>
    <w:p w14:paraId="3DC7CB92" w14:textId="468361D9" w:rsidR="005E2CD1" w:rsidRDefault="005E2CD1" w:rsidP="005D34F9">
      <w:pPr>
        <w:spacing w:line="360" w:lineRule="auto"/>
        <w:jc w:val="both"/>
        <w:rPr>
          <w:rFonts w:ascii="Century Gothic" w:eastAsia="Century Gothic" w:hAnsi="Century Gothic"/>
          <w:sz w:val="24"/>
          <w:szCs w:val="24"/>
        </w:rPr>
      </w:pPr>
    </w:p>
    <w:sdt>
      <w:sdtPr>
        <w:rPr>
          <w:rFonts w:asciiTheme="minorHAnsi" w:eastAsiaTheme="minorHAnsi" w:hAnsiTheme="minorHAnsi" w:cstheme="minorBidi"/>
          <w:color w:val="auto"/>
          <w:sz w:val="22"/>
          <w:szCs w:val="22"/>
          <w:lang w:eastAsia="en-US"/>
        </w:rPr>
        <w:id w:val="-77679914"/>
        <w:docPartObj>
          <w:docPartGallery w:val="Table of Contents"/>
          <w:docPartUnique/>
        </w:docPartObj>
      </w:sdtPr>
      <w:sdtEndPr>
        <w:rPr>
          <w:b/>
          <w:bCs/>
        </w:rPr>
      </w:sdtEndPr>
      <w:sdtContent>
        <w:p w14:paraId="34D97888" w14:textId="4AB15AB0" w:rsidR="005E2CD1" w:rsidRDefault="005E2CD1">
          <w:pPr>
            <w:pStyle w:val="En-ttedetabledesmatires"/>
          </w:pPr>
          <w:r>
            <w:t>Sommaires</w:t>
          </w:r>
        </w:p>
        <w:p w14:paraId="766BF7D8" w14:textId="657ADF3B" w:rsidR="005E2CD1" w:rsidRDefault="005E2CD1">
          <w:pPr>
            <w:pStyle w:val="TM1"/>
            <w:tabs>
              <w:tab w:val="left" w:pos="440"/>
              <w:tab w:val="right" w:leader="dot" w:pos="9062"/>
            </w:tabs>
            <w:rPr>
              <w:noProof/>
            </w:rPr>
          </w:pPr>
          <w:r>
            <w:fldChar w:fldCharType="begin"/>
          </w:r>
          <w:r>
            <w:instrText xml:space="preserve"> TOC \o "1-3" \h \z \u </w:instrText>
          </w:r>
          <w:r>
            <w:fldChar w:fldCharType="separate"/>
          </w:r>
          <w:hyperlink w:anchor="_Toc63194666" w:history="1">
            <w:r w:rsidRPr="003B60F5">
              <w:rPr>
                <w:rStyle w:val="Lienhypertexte"/>
                <w:rFonts w:eastAsia="Century Gothic"/>
                <w:noProof/>
              </w:rPr>
              <w:t>I.</w:t>
            </w:r>
            <w:r>
              <w:rPr>
                <w:noProof/>
              </w:rPr>
              <w:tab/>
            </w:r>
            <w:r w:rsidRPr="003B60F5">
              <w:rPr>
                <w:rStyle w:val="Lienhypertexte"/>
                <w:rFonts w:eastAsia="Century Gothic"/>
                <w:noProof/>
              </w:rPr>
              <w:t>INTRODUCTION</w:t>
            </w:r>
            <w:r>
              <w:rPr>
                <w:noProof/>
                <w:webHidden/>
              </w:rPr>
              <w:tab/>
            </w:r>
            <w:r>
              <w:rPr>
                <w:noProof/>
                <w:webHidden/>
              </w:rPr>
              <w:fldChar w:fldCharType="begin"/>
            </w:r>
            <w:r>
              <w:rPr>
                <w:noProof/>
                <w:webHidden/>
              </w:rPr>
              <w:instrText xml:space="preserve"> PAGEREF _Toc63194666 \h </w:instrText>
            </w:r>
            <w:r>
              <w:rPr>
                <w:noProof/>
                <w:webHidden/>
              </w:rPr>
            </w:r>
            <w:r>
              <w:rPr>
                <w:noProof/>
                <w:webHidden/>
              </w:rPr>
              <w:fldChar w:fldCharType="separate"/>
            </w:r>
            <w:r w:rsidR="009678B2">
              <w:rPr>
                <w:noProof/>
                <w:webHidden/>
              </w:rPr>
              <w:t>3</w:t>
            </w:r>
            <w:r>
              <w:rPr>
                <w:noProof/>
                <w:webHidden/>
              </w:rPr>
              <w:fldChar w:fldCharType="end"/>
            </w:r>
          </w:hyperlink>
        </w:p>
        <w:p w14:paraId="27101494" w14:textId="76A2AC28" w:rsidR="005E2CD1" w:rsidRDefault="00D15702">
          <w:pPr>
            <w:pStyle w:val="TM1"/>
            <w:tabs>
              <w:tab w:val="left" w:pos="440"/>
              <w:tab w:val="right" w:leader="dot" w:pos="9062"/>
            </w:tabs>
            <w:rPr>
              <w:noProof/>
            </w:rPr>
          </w:pPr>
          <w:hyperlink w:anchor="_Toc63194667" w:history="1">
            <w:r w:rsidR="005E2CD1" w:rsidRPr="003B60F5">
              <w:rPr>
                <w:rStyle w:val="Lienhypertexte"/>
                <w:rFonts w:eastAsia="Century Gothic"/>
                <w:noProof/>
              </w:rPr>
              <w:t>II.</w:t>
            </w:r>
            <w:r w:rsidR="005E2CD1">
              <w:rPr>
                <w:noProof/>
              </w:rPr>
              <w:tab/>
            </w:r>
            <w:r w:rsidR="005E2CD1" w:rsidRPr="003B60F5">
              <w:rPr>
                <w:rStyle w:val="Lienhypertexte"/>
                <w:rFonts w:eastAsia="Century Gothic"/>
                <w:noProof/>
              </w:rPr>
              <w:t>LES SPECIFICITES D’UNE GESTION DE CRISE CYBER</w:t>
            </w:r>
            <w:r w:rsidR="005E2CD1">
              <w:rPr>
                <w:noProof/>
                <w:webHidden/>
              </w:rPr>
              <w:tab/>
            </w:r>
            <w:r w:rsidR="005E2CD1">
              <w:rPr>
                <w:noProof/>
                <w:webHidden/>
              </w:rPr>
              <w:fldChar w:fldCharType="begin"/>
            </w:r>
            <w:r w:rsidR="005E2CD1">
              <w:rPr>
                <w:noProof/>
                <w:webHidden/>
              </w:rPr>
              <w:instrText xml:space="preserve"> PAGEREF _Toc63194667 \h </w:instrText>
            </w:r>
            <w:r w:rsidR="005E2CD1">
              <w:rPr>
                <w:noProof/>
                <w:webHidden/>
              </w:rPr>
            </w:r>
            <w:r w:rsidR="005E2CD1">
              <w:rPr>
                <w:noProof/>
                <w:webHidden/>
              </w:rPr>
              <w:fldChar w:fldCharType="separate"/>
            </w:r>
            <w:r w:rsidR="009678B2">
              <w:rPr>
                <w:noProof/>
                <w:webHidden/>
              </w:rPr>
              <w:t>4</w:t>
            </w:r>
            <w:r w:rsidR="005E2CD1">
              <w:rPr>
                <w:noProof/>
                <w:webHidden/>
              </w:rPr>
              <w:fldChar w:fldCharType="end"/>
            </w:r>
          </w:hyperlink>
        </w:p>
        <w:p w14:paraId="2EF23607" w14:textId="53B2247A" w:rsidR="005E2CD1" w:rsidRDefault="00D15702">
          <w:pPr>
            <w:pStyle w:val="TM1"/>
            <w:tabs>
              <w:tab w:val="left" w:pos="660"/>
              <w:tab w:val="right" w:leader="dot" w:pos="9062"/>
            </w:tabs>
            <w:rPr>
              <w:noProof/>
            </w:rPr>
          </w:pPr>
          <w:hyperlink w:anchor="_Toc63194668" w:history="1">
            <w:r w:rsidR="005E2CD1" w:rsidRPr="003B60F5">
              <w:rPr>
                <w:rStyle w:val="Lienhypertexte"/>
                <w:rFonts w:eastAsia="Century Gothic"/>
                <w:noProof/>
              </w:rPr>
              <w:t>III.</w:t>
            </w:r>
            <w:r w:rsidR="005E2CD1">
              <w:rPr>
                <w:noProof/>
              </w:rPr>
              <w:tab/>
            </w:r>
            <w:r w:rsidR="005E2CD1" w:rsidRPr="003B60F5">
              <w:rPr>
                <w:rStyle w:val="Lienhypertexte"/>
                <w:rFonts w:eastAsia="Century Gothic"/>
                <w:noProof/>
              </w:rPr>
              <w:t>DISPOSITIF DE GESTION DE CRISE</w:t>
            </w:r>
            <w:r w:rsidR="005E2CD1">
              <w:rPr>
                <w:noProof/>
                <w:webHidden/>
              </w:rPr>
              <w:tab/>
            </w:r>
            <w:r w:rsidR="005E2CD1">
              <w:rPr>
                <w:noProof/>
                <w:webHidden/>
              </w:rPr>
              <w:fldChar w:fldCharType="begin"/>
            </w:r>
            <w:r w:rsidR="005E2CD1">
              <w:rPr>
                <w:noProof/>
                <w:webHidden/>
              </w:rPr>
              <w:instrText xml:space="preserve"> PAGEREF _Toc63194668 \h </w:instrText>
            </w:r>
            <w:r w:rsidR="005E2CD1">
              <w:rPr>
                <w:noProof/>
                <w:webHidden/>
              </w:rPr>
            </w:r>
            <w:r w:rsidR="005E2CD1">
              <w:rPr>
                <w:noProof/>
                <w:webHidden/>
              </w:rPr>
              <w:fldChar w:fldCharType="separate"/>
            </w:r>
            <w:r w:rsidR="009678B2">
              <w:rPr>
                <w:noProof/>
                <w:webHidden/>
              </w:rPr>
              <w:t>4</w:t>
            </w:r>
            <w:r w:rsidR="005E2CD1">
              <w:rPr>
                <w:noProof/>
                <w:webHidden/>
              </w:rPr>
              <w:fldChar w:fldCharType="end"/>
            </w:r>
          </w:hyperlink>
        </w:p>
        <w:p w14:paraId="1D0F703B" w14:textId="2CB26B21" w:rsidR="005E2CD1" w:rsidRDefault="00D15702">
          <w:pPr>
            <w:pStyle w:val="TM1"/>
            <w:tabs>
              <w:tab w:val="left" w:pos="660"/>
              <w:tab w:val="right" w:leader="dot" w:pos="9062"/>
            </w:tabs>
            <w:rPr>
              <w:noProof/>
            </w:rPr>
          </w:pPr>
          <w:hyperlink w:anchor="_Toc63194669" w:history="1">
            <w:r w:rsidR="005E2CD1" w:rsidRPr="003B60F5">
              <w:rPr>
                <w:rStyle w:val="Lienhypertexte"/>
                <w:rFonts w:eastAsia="Century Gothic"/>
                <w:noProof/>
              </w:rPr>
              <w:t>IV.</w:t>
            </w:r>
            <w:r w:rsidR="005E2CD1">
              <w:rPr>
                <w:noProof/>
              </w:rPr>
              <w:tab/>
            </w:r>
            <w:r w:rsidR="005E2CD1" w:rsidRPr="003B60F5">
              <w:rPr>
                <w:rStyle w:val="Lienhypertexte"/>
                <w:rFonts w:eastAsia="Century Gothic"/>
                <w:noProof/>
              </w:rPr>
              <w:t>Les grandes étapes de la gestion de crise</w:t>
            </w:r>
            <w:r w:rsidR="005E2CD1">
              <w:rPr>
                <w:noProof/>
                <w:webHidden/>
              </w:rPr>
              <w:tab/>
            </w:r>
            <w:r w:rsidR="005E2CD1">
              <w:rPr>
                <w:noProof/>
                <w:webHidden/>
              </w:rPr>
              <w:fldChar w:fldCharType="begin"/>
            </w:r>
            <w:r w:rsidR="005E2CD1">
              <w:rPr>
                <w:noProof/>
                <w:webHidden/>
              </w:rPr>
              <w:instrText xml:space="preserve"> PAGEREF _Toc63194669 \h </w:instrText>
            </w:r>
            <w:r w:rsidR="005E2CD1">
              <w:rPr>
                <w:noProof/>
                <w:webHidden/>
              </w:rPr>
            </w:r>
            <w:r w:rsidR="005E2CD1">
              <w:rPr>
                <w:noProof/>
                <w:webHidden/>
              </w:rPr>
              <w:fldChar w:fldCharType="separate"/>
            </w:r>
            <w:r w:rsidR="009678B2">
              <w:rPr>
                <w:noProof/>
                <w:webHidden/>
              </w:rPr>
              <w:t>6</w:t>
            </w:r>
            <w:r w:rsidR="005E2CD1">
              <w:rPr>
                <w:noProof/>
                <w:webHidden/>
              </w:rPr>
              <w:fldChar w:fldCharType="end"/>
            </w:r>
          </w:hyperlink>
        </w:p>
        <w:p w14:paraId="7451380F" w14:textId="35F51113" w:rsidR="005E2CD1" w:rsidRDefault="00D15702">
          <w:pPr>
            <w:pStyle w:val="TM1"/>
            <w:tabs>
              <w:tab w:val="left" w:pos="440"/>
              <w:tab w:val="right" w:leader="dot" w:pos="9062"/>
            </w:tabs>
            <w:rPr>
              <w:noProof/>
            </w:rPr>
          </w:pPr>
          <w:hyperlink w:anchor="_Toc63194670" w:history="1">
            <w:r w:rsidR="005E2CD1" w:rsidRPr="003B60F5">
              <w:rPr>
                <w:rStyle w:val="Lienhypertexte"/>
                <w:rFonts w:eastAsia="Century Gothic"/>
                <w:noProof/>
              </w:rPr>
              <w:t>V.</w:t>
            </w:r>
            <w:r w:rsidR="005E2CD1">
              <w:rPr>
                <w:noProof/>
              </w:rPr>
              <w:tab/>
            </w:r>
            <w:r w:rsidR="005E2CD1" w:rsidRPr="003B60F5">
              <w:rPr>
                <w:rStyle w:val="Lienhypertexte"/>
                <w:rFonts w:eastAsia="Century Gothic"/>
                <w:noProof/>
              </w:rPr>
              <w:t>Les moyens</w:t>
            </w:r>
            <w:r w:rsidR="005E2CD1">
              <w:rPr>
                <w:noProof/>
                <w:webHidden/>
              </w:rPr>
              <w:tab/>
            </w:r>
            <w:r w:rsidR="005E2CD1">
              <w:rPr>
                <w:noProof/>
                <w:webHidden/>
              </w:rPr>
              <w:fldChar w:fldCharType="begin"/>
            </w:r>
            <w:r w:rsidR="005E2CD1">
              <w:rPr>
                <w:noProof/>
                <w:webHidden/>
              </w:rPr>
              <w:instrText xml:space="preserve"> PAGEREF _Toc63194670 \h </w:instrText>
            </w:r>
            <w:r w:rsidR="005E2CD1">
              <w:rPr>
                <w:noProof/>
                <w:webHidden/>
              </w:rPr>
            </w:r>
            <w:r w:rsidR="005E2CD1">
              <w:rPr>
                <w:noProof/>
                <w:webHidden/>
              </w:rPr>
              <w:fldChar w:fldCharType="separate"/>
            </w:r>
            <w:r w:rsidR="009678B2">
              <w:rPr>
                <w:noProof/>
                <w:webHidden/>
              </w:rPr>
              <w:t>9</w:t>
            </w:r>
            <w:r w:rsidR="005E2CD1">
              <w:rPr>
                <w:noProof/>
                <w:webHidden/>
              </w:rPr>
              <w:fldChar w:fldCharType="end"/>
            </w:r>
          </w:hyperlink>
        </w:p>
        <w:p w14:paraId="6AE0933A" w14:textId="3D3D9956" w:rsidR="005E2CD1" w:rsidRDefault="00D15702">
          <w:pPr>
            <w:pStyle w:val="TM1"/>
            <w:tabs>
              <w:tab w:val="left" w:pos="660"/>
              <w:tab w:val="right" w:leader="dot" w:pos="9062"/>
            </w:tabs>
            <w:rPr>
              <w:noProof/>
            </w:rPr>
          </w:pPr>
          <w:hyperlink w:anchor="_Toc63194671" w:history="1">
            <w:r w:rsidR="005E2CD1" w:rsidRPr="003B60F5">
              <w:rPr>
                <w:rStyle w:val="Lienhypertexte"/>
                <w:rFonts w:eastAsia="Century Gothic"/>
                <w:noProof/>
              </w:rPr>
              <w:t>VI.</w:t>
            </w:r>
            <w:r w:rsidR="005E2CD1">
              <w:rPr>
                <w:noProof/>
              </w:rPr>
              <w:tab/>
            </w:r>
            <w:r w:rsidR="005E2CD1" w:rsidRPr="003B60F5">
              <w:rPr>
                <w:rStyle w:val="Lienhypertexte"/>
                <w:rFonts w:eastAsia="Century Gothic"/>
                <w:noProof/>
              </w:rPr>
              <w:t>Nos principes de communication en période de crise</w:t>
            </w:r>
            <w:r w:rsidR="005E2CD1">
              <w:rPr>
                <w:noProof/>
                <w:webHidden/>
              </w:rPr>
              <w:tab/>
            </w:r>
            <w:r w:rsidR="005E2CD1">
              <w:rPr>
                <w:noProof/>
                <w:webHidden/>
              </w:rPr>
              <w:fldChar w:fldCharType="begin"/>
            </w:r>
            <w:r w:rsidR="005E2CD1">
              <w:rPr>
                <w:noProof/>
                <w:webHidden/>
              </w:rPr>
              <w:instrText xml:space="preserve"> PAGEREF _Toc63194671 \h </w:instrText>
            </w:r>
            <w:r w:rsidR="005E2CD1">
              <w:rPr>
                <w:noProof/>
                <w:webHidden/>
              </w:rPr>
            </w:r>
            <w:r w:rsidR="005E2CD1">
              <w:rPr>
                <w:noProof/>
                <w:webHidden/>
              </w:rPr>
              <w:fldChar w:fldCharType="separate"/>
            </w:r>
            <w:r w:rsidR="009678B2">
              <w:rPr>
                <w:noProof/>
                <w:webHidden/>
              </w:rPr>
              <w:t>11</w:t>
            </w:r>
            <w:r w:rsidR="005E2CD1">
              <w:rPr>
                <w:noProof/>
                <w:webHidden/>
              </w:rPr>
              <w:fldChar w:fldCharType="end"/>
            </w:r>
          </w:hyperlink>
        </w:p>
        <w:p w14:paraId="1E5CE6AA" w14:textId="5F8F2E7B" w:rsidR="0008076C" w:rsidRPr="005E2CD1" w:rsidRDefault="005E2CD1" w:rsidP="005E2CD1">
          <w:r>
            <w:rPr>
              <w:b/>
              <w:bCs/>
            </w:rPr>
            <w:fldChar w:fldCharType="end"/>
          </w:r>
        </w:p>
      </w:sdtContent>
    </w:sdt>
    <w:p w14:paraId="221F921E" w14:textId="30355C98" w:rsidR="0008076C" w:rsidRDefault="0008076C" w:rsidP="005D34F9">
      <w:pPr>
        <w:spacing w:line="360" w:lineRule="auto"/>
        <w:jc w:val="both"/>
        <w:rPr>
          <w:rFonts w:ascii="Century Gothic" w:eastAsia="Century Gothic" w:hAnsi="Century Gothic"/>
          <w:sz w:val="24"/>
          <w:szCs w:val="24"/>
        </w:rPr>
      </w:pPr>
    </w:p>
    <w:p w14:paraId="0A2E08F1" w14:textId="2319B13C" w:rsidR="0008076C" w:rsidRDefault="0008076C" w:rsidP="005D34F9">
      <w:pPr>
        <w:spacing w:line="360" w:lineRule="auto"/>
        <w:jc w:val="both"/>
        <w:rPr>
          <w:rFonts w:ascii="Century Gothic" w:eastAsia="Century Gothic" w:hAnsi="Century Gothic"/>
          <w:sz w:val="24"/>
          <w:szCs w:val="24"/>
        </w:rPr>
      </w:pPr>
    </w:p>
    <w:p w14:paraId="2BB120AB" w14:textId="453EF9BE" w:rsidR="0008076C" w:rsidRDefault="0008076C" w:rsidP="005D34F9">
      <w:pPr>
        <w:spacing w:line="360" w:lineRule="auto"/>
        <w:jc w:val="both"/>
        <w:rPr>
          <w:rFonts w:ascii="Century Gothic" w:eastAsia="Century Gothic" w:hAnsi="Century Gothic"/>
          <w:sz w:val="24"/>
          <w:szCs w:val="24"/>
        </w:rPr>
      </w:pPr>
    </w:p>
    <w:p w14:paraId="1BFFBBA7" w14:textId="3CCEB00A" w:rsidR="0008076C" w:rsidRDefault="0008076C" w:rsidP="005D34F9">
      <w:pPr>
        <w:spacing w:line="360" w:lineRule="auto"/>
        <w:jc w:val="both"/>
        <w:rPr>
          <w:rFonts w:ascii="Century Gothic" w:eastAsia="Century Gothic" w:hAnsi="Century Gothic"/>
          <w:sz w:val="24"/>
          <w:szCs w:val="24"/>
        </w:rPr>
      </w:pPr>
    </w:p>
    <w:p w14:paraId="60443637" w14:textId="33E0B9DE" w:rsidR="0008076C" w:rsidRDefault="0008076C" w:rsidP="005D34F9">
      <w:pPr>
        <w:spacing w:line="360" w:lineRule="auto"/>
        <w:jc w:val="both"/>
        <w:rPr>
          <w:rFonts w:ascii="Century Gothic" w:eastAsia="Century Gothic" w:hAnsi="Century Gothic"/>
          <w:sz w:val="24"/>
          <w:szCs w:val="24"/>
        </w:rPr>
      </w:pPr>
    </w:p>
    <w:p w14:paraId="4F4743FA" w14:textId="7C07AED9" w:rsidR="0008076C" w:rsidRDefault="0008076C" w:rsidP="005D34F9">
      <w:pPr>
        <w:spacing w:line="360" w:lineRule="auto"/>
        <w:jc w:val="both"/>
        <w:rPr>
          <w:rFonts w:ascii="Century Gothic" w:eastAsia="Century Gothic" w:hAnsi="Century Gothic"/>
          <w:sz w:val="24"/>
          <w:szCs w:val="24"/>
        </w:rPr>
      </w:pPr>
    </w:p>
    <w:p w14:paraId="4DCBC3A7" w14:textId="1D1DAB39" w:rsidR="0008076C" w:rsidRDefault="0008076C" w:rsidP="005D34F9">
      <w:pPr>
        <w:spacing w:line="360" w:lineRule="auto"/>
        <w:jc w:val="both"/>
        <w:rPr>
          <w:rFonts w:ascii="Century Gothic" w:eastAsia="Century Gothic" w:hAnsi="Century Gothic"/>
          <w:sz w:val="24"/>
          <w:szCs w:val="24"/>
        </w:rPr>
      </w:pPr>
    </w:p>
    <w:p w14:paraId="163E5D1C" w14:textId="7186C5DF" w:rsidR="0008076C" w:rsidRDefault="0008076C" w:rsidP="005D34F9">
      <w:pPr>
        <w:spacing w:line="360" w:lineRule="auto"/>
        <w:jc w:val="both"/>
        <w:rPr>
          <w:rFonts w:ascii="Century Gothic" w:eastAsia="Century Gothic" w:hAnsi="Century Gothic"/>
          <w:sz w:val="24"/>
          <w:szCs w:val="24"/>
        </w:rPr>
      </w:pPr>
    </w:p>
    <w:p w14:paraId="5A61FFE2" w14:textId="7CA27550" w:rsidR="0008076C" w:rsidRDefault="0008076C" w:rsidP="005D34F9">
      <w:pPr>
        <w:spacing w:line="360" w:lineRule="auto"/>
        <w:jc w:val="both"/>
        <w:rPr>
          <w:rFonts w:ascii="Century Gothic" w:eastAsia="Century Gothic" w:hAnsi="Century Gothic"/>
          <w:sz w:val="24"/>
          <w:szCs w:val="24"/>
        </w:rPr>
      </w:pPr>
    </w:p>
    <w:p w14:paraId="7F7B73B2" w14:textId="3E127AC3" w:rsidR="0008076C" w:rsidRDefault="0008076C" w:rsidP="005D34F9">
      <w:pPr>
        <w:spacing w:line="360" w:lineRule="auto"/>
        <w:jc w:val="both"/>
        <w:rPr>
          <w:rFonts w:ascii="Century Gothic" w:eastAsia="Century Gothic" w:hAnsi="Century Gothic"/>
          <w:sz w:val="24"/>
          <w:szCs w:val="24"/>
        </w:rPr>
      </w:pPr>
    </w:p>
    <w:p w14:paraId="65FC517F" w14:textId="1BCF59FE" w:rsidR="0008076C" w:rsidRDefault="0008076C" w:rsidP="005D34F9">
      <w:pPr>
        <w:spacing w:line="360" w:lineRule="auto"/>
        <w:jc w:val="both"/>
        <w:rPr>
          <w:rFonts w:ascii="Century Gothic" w:eastAsia="Century Gothic" w:hAnsi="Century Gothic"/>
          <w:sz w:val="24"/>
          <w:szCs w:val="24"/>
        </w:rPr>
      </w:pPr>
    </w:p>
    <w:p w14:paraId="7CBC2B7A" w14:textId="59DCEF17" w:rsidR="0008076C" w:rsidRDefault="0008076C" w:rsidP="005D34F9">
      <w:pPr>
        <w:spacing w:line="360" w:lineRule="auto"/>
        <w:jc w:val="both"/>
        <w:rPr>
          <w:rFonts w:ascii="Century Gothic" w:eastAsia="Century Gothic" w:hAnsi="Century Gothic"/>
          <w:sz w:val="24"/>
          <w:szCs w:val="24"/>
        </w:rPr>
      </w:pPr>
    </w:p>
    <w:p w14:paraId="0BCD244B" w14:textId="57F60A0A" w:rsidR="0008076C" w:rsidRDefault="0008076C" w:rsidP="005D34F9">
      <w:pPr>
        <w:spacing w:line="360" w:lineRule="auto"/>
        <w:jc w:val="both"/>
        <w:rPr>
          <w:rFonts w:ascii="Century Gothic" w:eastAsia="Century Gothic" w:hAnsi="Century Gothic"/>
          <w:sz w:val="24"/>
          <w:szCs w:val="24"/>
        </w:rPr>
      </w:pPr>
    </w:p>
    <w:p w14:paraId="14EC15B3" w14:textId="4009355D" w:rsidR="0008076C" w:rsidRDefault="0008076C" w:rsidP="005D34F9">
      <w:pPr>
        <w:spacing w:line="360" w:lineRule="auto"/>
        <w:jc w:val="both"/>
        <w:rPr>
          <w:rFonts w:ascii="Century Gothic" w:eastAsia="Century Gothic" w:hAnsi="Century Gothic"/>
          <w:sz w:val="24"/>
          <w:szCs w:val="24"/>
        </w:rPr>
      </w:pPr>
    </w:p>
    <w:p w14:paraId="642B5800" w14:textId="0D945101" w:rsidR="0008076C" w:rsidRDefault="0008076C" w:rsidP="0008076C">
      <w:pPr>
        <w:pStyle w:val="Titre1"/>
        <w:numPr>
          <w:ilvl w:val="0"/>
          <w:numId w:val="3"/>
        </w:numPr>
        <w:rPr>
          <w:rFonts w:eastAsia="Century Gothic"/>
        </w:rPr>
      </w:pPr>
      <w:bookmarkStart w:id="0" w:name="_Toc63194666"/>
      <w:r>
        <w:rPr>
          <w:rFonts w:eastAsia="Century Gothic"/>
        </w:rPr>
        <w:lastRenderedPageBreak/>
        <w:t>INTRODUCTION</w:t>
      </w:r>
      <w:bookmarkEnd w:id="0"/>
    </w:p>
    <w:p w14:paraId="0DF45168" w14:textId="77777777" w:rsidR="0069442C" w:rsidRPr="0069442C" w:rsidRDefault="0069442C" w:rsidP="0069442C"/>
    <w:p w14:paraId="521D2EF4" w14:textId="65AB5C5C" w:rsidR="0008076C" w:rsidRPr="0008076C" w:rsidRDefault="0008076C" w:rsidP="0008076C">
      <w:pPr>
        <w:spacing w:line="360" w:lineRule="auto"/>
        <w:ind w:firstLine="708"/>
        <w:jc w:val="both"/>
        <w:rPr>
          <w:rFonts w:ascii="Century Gothic" w:eastAsia="Century Gothic" w:hAnsi="Century Gothic"/>
          <w:sz w:val="24"/>
          <w:szCs w:val="24"/>
        </w:rPr>
      </w:pPr>
      <w:r w:rsidRPr="0008076C">
        <w:rPr>
          <w:rFonts w:ascii="Century Gothic" w:eastAsia="Century Gothic" w:hAnsi="Century Gothic"/>
          <w:sz w:val="24"/>
          <w:szCs w:val="24"/>
        </w:rPr>
        <w:t>Le monde actuel est en train de vivre une révolution numérique. Les</w:t>
      </w:r>
      <w:r>
        <w:rPr>
          <w:rFonts w:ascii="Century Gothic" w:eastAsia="Century Gothic" w:hAnsi="Century Gothic"/>
          <w:sz w:val="24"/>
          <w:szCs w:val="24"/>
        </w:rPr>
        <w:t xml:space="preserve"> </w:t>
      </w:r>
      <w:r w:rsidRPr="0008076C">
        <w:rPr>
          <w:rFonts w:ascii="Century Gothic" w:eastAsia="Century Gothic" w:hAnsi="Century Gothic"/>
          <w:sz w:val="24"/>
          <w:szCs w:val="24"/>
        </w:rPr>
        <w:t>nouvelles technologies (et en particulier celles liées à l’informatique et aux</w:t>
      </w:r>
      <w:r>
        <w:rPr>
          <w:rFonts w:ascii="Century Gothic" w:eastAsia="Century Gothic" w:hAnsi="Century Gothic"/>
          <w:sz w:val="24"/>
          <w:szCs w:val="24"/>
        </w:rPr>
        <w:t xml:space="preserve"> </w:t>
      </w:r>
      <w:r w:rsidRPr="0008076C">
        <w:rPr>
          <w:rFonts w:ascii="Century Gothic" w:eastAsia="Century Gothic" w:hAnsi="Century Gothic"/>
          <w:sz w:val="24"/>
          <w:szCs w:val="24"/>
        </w:rPr>
        <w:t>télécommunications) sont en train de bouleverser le monde des entreprises.</w:t>
      </w:r>
      <w:r>
        <w:rPr>
          <w:rFonts w:ascii="Century Gothic" w:eastAsia="Century Gothic" w:hAnsi="Century Gothic"/>
          <w:sz w:val="24"/>
          <w:szCs w:val="24"/>
        </w:rPr>
        <w:t xml:space="preserve"> </w:t>
      </w:r>
      <w:r w:rsidRPr="0008076C">
        <w:rPr>
          <w:rFonts w:ascii="Century Gothic" w:eastAsia="Century Gothic" w:hAnsi="Century Gothic"/>
          <w:sz w:val="24"/>
          <w:szCs w:val="24"/>
        </w:rPr>
        <w:t>Cette révolution numérique a donc également des répercutions sur la sécurité</w:t>
      </w:r>
      <w:r>
        <w:rPr>
          <w:rFonts w:ascii="Century Gothic" w:eastAsia="Century Gothic" w:hAnsi="Century Gothic"/>
          <w:sz w:val="24"/>
          <w:szCs w:val="24"/>
        </w:rPr>
        <w:t xml:space="preserve"> </w:t>
      </w:r>
      <w:r w:rsidRPr="0008076C">
        <w:rPr>
          <w:rFonts w:ascii="Century Gothic" w:eastAsia="Century Gothic" w:hAnsi="Century Gothic"/>
          <w:sz w:val="24"/>
          <w:szCs w:val="24"/>
        </w:rPr>
        <w:t>des entreprises. Leur niveau d’exposition aux risques en général et aux risques</w:t>
      </w:r>
      <w:r>
        <w:rPr>
          <w:rFonts w:ascii="Century Gothic" w:eastAsia="Century Gothic" w:hAnsi="Century Gothic"/>
          <w:sz w:val="24"/>
          <w:szCs w:val="24"/>
        </w:rPr>
        <w:t xml:space="preserve"> </w:t>
      </w:r>
      <w:r w:rsidRPr="0008076C">
        <w:rPr>
          <w:rFonts w:ascii="Century Gothic" w:eastAsia="Century Gothic" w:hAnsi="Century Gothic"/>
          <w:sz w:val="24"/>
          <w:szCs w:val="24"/>
        </w:rPr>
        <w:t>cyber en particulier est depuis quelques années en perpétuelle augmentation</w:t>
      </w:r>
      <w:r>
        <w:rPr>
          <w:rFonts w:ascii="Century Gothic" w:eastAsia="Century Gothic" w:hAnsi="Century Gothic"/>
          <w:sz w:val="24"/>
          <w:szCs w:val="24"/>
        </w:rPr>
        <w:t xml:space="preserve"> </w:t>
      </w:r>
      <w:r w:rsidRPr="0008076C">
        <w:rPr>
          <w:rFonts w:ascii="Century Gothic" w:eastAsia="Century Gothic" w:hAnsi="Century Gothic"/>
          <w:sz w:val="24"/>
          <w:szCs w:val="24"/>
        </w:rPr>
        <w:t>et est devenu un sujet d’attention et de préoccupation pour les dirigeants</w:t>
      </w:r>
      <w:r>
        <w:rPr>
          <w:rFonts w:ascii="Century Gothic" w:eastAsia="Century Gothic" w:hAnsi="Century Gothic"/>
          <w:sz w:val="24"/>
          <w:szCs w:val="24"/>
        </w:rPr>
        <w:t xml:space="preserve"> </w:t>
      </w:r>
      <w:r w:rsidRPr="0008076C">
        <w:rPr>
          <w:rFonts w:ascii="Century Gothic" w:eastAsia="Century Gothic" w:hAnsi="Century Gothic"/>
          <w:sz w:val="24"/>
          <w:szCs w:val="24"/>
        </w:rPr>
        <w:t>des entreprises. La mondialisation et la numérisation du monde des affaires</w:t>
      </w:r>
      <w:r>
        <w:rPr>
          <w:rFonts w:ascii="Century Gothic" w:eastAsia="Century Gothic" w:hAnsi="Century Gothic"/>
          <w:sz w:val="24"/>
          <w:szCs w:val="24"/>
        </w:rPr>
        <w:t xml:space="preserve"> </w:t>
      </w:r>
      <w:r w:rsidRPr="0008076C">
        <w:rPr>
          <w:rFonts w:ascii="Century Gothic" w:eastAsia="Century Gothic" w:hAnsi="Century Gothic"/>
          <w:sz w:val="24"/>
          <w:szCs w:val="24"/>
        </w:rPr>
        <w:t>et des échanges commerciaux ont fait apparaître de nouvelles sources et de</w:t>
      </w:r>
      <w:r>
        <w:rPr>
          <w:rFonts w:ascii="Century Gothic" w:eastAsia="Century Gothic" w:hAnsi="Century Gothic"/>
          <w:sz w:val="24"/>
          <w:szCs w:val="24"/>
        </w:rPr>
        <w:t xml:space="preserve"> </w:t>
      </w:r>
      <w:r w:rsidRPr="0008076C">
        <w:rPr>
          <w:rFonts w:ascii="Century Gothic" w:eastAsia="Century Gothic" w:hAnsi="Century Gothic"/>
          <w:sz w:val="24"/>
          <w:szCs w:val="24"/>
        </w:rPr>
        <w:t>nouveaux types de menaces. Les Systèmes d’Information (SI) des entreprises</w:t>
      </w:r>
      <w:r>
        <w:rPr>
          <w:rFonts w:ascii="Century Gothic" w:eastAsia="Century Gothic" w:hAnsi="Century Gothic"/>
          <w:sz w:val="24"/>
          <w:szCs w:val="24"/>
        </w:rPr>
        <w:t xml:space="preserve"> </w:t>
      </w:r>
      <w:r w:rsidRPr="0008076C">
        <w:rPr>
          <w:rFonts w:ascii="Century Gothic" w:eastAsia="Century Gothic" w:hAnsi="Century Gothic"/>
          <w:sz w:val="24"/>
          <w:szCs w:val="24"/>
        </w:rPr>
        <w:t>hébergent une multitude d’informations qui attirent la convoitise, que ce soit</w:t>
      </w:r>
      <w:r>
        <w:rPr>
          <w:rFonts w:ascii="Century Gothic" w:eastAsia="Century Gothic" w:hAnsi="Century Gothic"/>
          <w:sz w:val="24"/>
          <w:szCs w:val="24"/>
        </w:rPr>
        <w:t xml:space="preserve"> </w:t>
      </w:r>
      <w:r w:rsidRPr="0008076C">
        <w:rPr>
          <w:rFonts w:ascii="Century Gothic" w:eastAsia="Century Gothic" w:hAnsi="Century Gothic"/>
          <w:sz w:val="24"/>
          <w:szCs w:val="24"/>
        </w:rPr>
        <w:t>de la part de compétiteurs, de cyber-délinquants, voire même de personnes</w:t>
      </w:r>
      <w:r>
        <w:rPr>
          <w:rFonts w:ascii="Century Gothic" w:eastAsia="Century Gothic" w:hAnsi="Century Gothic"/>
          <w:sz w:val="24"/>
          <w:szCs w:val="24"/>
        </w:rPr>
        <w:t xml:space="preserve"> </w:t>
      </w:r>
      <w:r w:rsidRPr="0008076C">
        <w:rPr>
          <w:rFonts w:ascii="Century Gothic" w:eastAsia="Century Gothic" w:hAnsi="Century Gothic"/>
          <w:sz w:val="24"/>
          <w:szCs w:val="24"/>
        </w:rPr>
        <w:t>internes à la société. Ces mêmes systèmes d’information sont de plus en</w:t>
      </w:r>
      <w:r>
        <w:rPr>
          <w:rFonts w:ascii="Century Gothic" w:eastAsia="Century Gothic" w:hAnsi="Century Gothic"/>
          <w:sz w:val="24"/>
          <w:szCs w:val="24"/>
        </w:rPr>
        <w:t xml:space="preserve"> </w:t>
      </w:r>
      <w:r w:rsidRPr="0008076C">
        <w:rPr>
          <w:rFonts w:ascii="Century Gothic" w:eastAsia="Century Gothic" w:hAnsi="Century Gothic"/>
          <w:sz w:val="24"/>
          <w:szCs w:val="24"/>
        </w:rPr>
        <w:t>plus interconnectés et ouverts (par exemple sur Internet), et offrent donc une</w:t>
      </w:r>
      <w:r>
        <w:rPr>
          <w:rFonts w:ascii="Century Gothic" w:eastAsia="Century Gothic" w:hAnsi="Century Gothic"/>
          <w:sz w:val="24"/>
          <w:szCs w:val="24"/>
        </w:rPr>
        <w:t xml:space="preserve"> </w:t>
      </w:r>
      <w:r w:rsidRPr="0008076C">
        <w:rPr>
          <w:rFonts w:ascii="Century Gothic" w:eastAsia="Century Gothic" w:hAnsi="Century Gothic"/>
          <w:sz w:val="24"/>
          <w:szCs w:val="24"/>
        </w:rPr>
        <w:t>exposition de plus en plus large aux intrusions et aux attaques qui peuvent</w:t>
      </w:r>
      <w:r>
        <w:rPr>
          <w:rFonts w:ascii="Century Gothic" w:eastAsia="Century Gothic" w:hAnsi="Century Gothic"/>
          <w:sz w:val="24"/>
          <w:szCs w:val="24"/>
        </w:rPr>
        <w:t xml:space="preserve"> </w:t>
      </w:r>
      <w:r w:rsidRPr="0008076C">
        <w:rPr>
          <w:rFonts w:ascii="Century Gothic" w:eastAsia="Century Gothic" w:hAnsi="Century Gothic"/>
          <w:sz w:val="24"/>
          <w:szCs w:val="24"/>
        </w:rPr>
        <w:t>être initiées depuis n’importe quelle partie du monde.</w:t>
      </w:r>
    </w:p>
    <w:p w14:paraId="75877AB8" w14:textId="22124258" w:rsidR="0008076C" w:rsidRDefault="0008076C" w:rsidP="0008076C">
      <w:pPr>
        <w:spacing w:line="360" w:lineRule="auto"/>
        <w:ind w:firstLine="708"/>
        <w:jc w:val="both"/>
        <w:rPr>
          <w:rFonts w:ascii="Century Gothic" w:eastAsia="Century Gothic" w:hAnsi="Century Gothic"/>
          <w:sz w:val="24"/>
          <w:szCs w:val="24"/>
        </w:rPr>
      </w:pPr>
      <w:r w:rsidRPr="0008076C">
        <w:rPr>
          <w:rFonts w:ascii="Century Gothic" w:eastAsia="Century Gothic" w:hAnsi="Century Gothic"/>
          <w:sz w:val="24"/>
          <w:szCs w:val="24"/>
        </w:rPr>
        <w:t xml:space="preserve">Il convient d’abord de rappeler la définition d’une « crise </w:t>
      </w:r>
      <w:proofErr w:type="gramStart"/>
      <w:r w:rsidRPr="0008076C">
        <w:rPr>
          <w:rFonts w:ascii="Century Gothic" w:eastAsia="Century Gothic" w:hAnsi="Century Gothic"/>
          <w:sz w:val="24"/>
          <w:szCs w:val="24"/>
        </w:rPr>
        <w:t>»:</w:t>
      </w:r>
      <w:proofErr w:type="gramEnd"/>
      <w:r w:rsidRPr="0008076C">
        <w:rPr>
          <w:rFonts w:ascii="Century Gothic" w:eastAsia="Century Gothic" w:hAnsi="Century Gothic"/>
          <w:sz w:val="24"/>
          <w:szCs w:val="24"/>
        </w:rPr>
        <w:t xml:space="preserve"> « Événement</w:t>
      </w:r>
      <w:r>
        <w:rPr>
          <w:rFonts w:ascii="Century Gothic" w:eastAsia="Century Gothic" w:hAnsi="Century Gothic"/>
          <w:sz w:val="24"/>
          <w:szCs w:val="24"/>
        </w:rPr>
        <w:t xml:space="preserve"> </w:t>
      </w:r>
      <w:r w:rsidRPr="0008076C">
        <w:rPr>
          <w:rFonts w:ascii="Century Gothic" w:eastAsia="Century Gothic" w:hAnsi="Century Gothic"/>
          <w:sz w:val="24"/>
          <w:szCs w:val="24"/>
        </w:rPr>
        <w:t>soudain causant des pertes et des dommages importants, entraînant une</w:t>
      </w:r>
      <w:r>
        <w:rPr>
          <w:rFonts w:ascii="Century Gothic" w:eastAsia="Century Gothic" w:hAnsi="Century Gothic"/>
          <w:sz w:val="24"/>
          <w:szCs w:val="24"/>
        </w:rPr>
        <w:t xml:space="preserve"> </w:t>
      </w:r>
      <w:r w:rsidRPr="0008076C">
        <w:rPr>
          <w:rFonts w:ascii="Century Gothic" w:eastAsia="Century Gothic" w:hAnsi="Century Gothic"/>
          <w:sz w:val="24"/>
          <w:szCs w:val="24"/>
        </w:rPr>
        <w:t>interruption d’une ou plusieurs activités critiques ou un arrêt de l’organisme,</w:t>
      </w:r>
      <w:r>
        <w:rPr>
          <w:rFonts w:ascii="Century Gothic" w:eastAsia="Century Gothic" w:hAnsi="Century Gothic"/>
          <w:sz w:val="24"/>
          <w:szCs w:val="24"/>
        </w:rPr>
        <w:t xml:space="preserve"> </w:t>
      </w:r>
      <w:r w:rsidRPr="0008076C">
        <w:rPr>
          <w:rFonts w:ascii="Century Gothic" w:eastAsia="Century Gothic" w:hAnsi="Century Gothic"/>
          <w:sz w:val="24"/>
          <w:szCs w:val="24"/>
        </w:rPr>
        <w:t>ayant des impacts à long terme et nécessitant le recours à la Cellule de crise et,</w:t>
      </w:r>
      <w:r>
        <w:rPr>
          <w:rFonts w:ascii="Century Gothic" w:eastAsia="Century Gothic" w:hAnsi="Century Gothic"/>
          <w:sz w:val="24"/>
          <w:szCs w:val="24"/>
        </w:rPr>
        <w:t xml:space="preserve"> </w:t>
      </w:r>
      <w:r w:rsidRPr="0008076C">
        <w:rPr>
          <w:rFonts w:ascii="Century Gothic" w:eastAsia="Century Gothic" w:hAnsi="Century Gothic"/>
          <w:sz w:val="24"/>
          <w:szCs w:val="24"/>
        </w:rPr>
        <w:t>le cas échéant, à un site alternatif. Une crise peut avoir des conséquences sur</w:t>
      </w:r>
      <w:r>
        <w:rPr>
          <w:rFonts w:ascii="Century Gothic" w:eastAsia="Century Gothic" w:hAnsi="Century Gothic"/>
          <w:sz w:val="24"/>
          <w:szCs w:val="24"/>
        </w:rPr>
        <w:t xml:space="preserve"> </w:t>
      </w:r>
      <w:r w:rsidRPr="0008076C">
        <w:rPr>
          <w:rFonts w:ascii="Century Gothic" w:eastAsia="Century Gothic" w:hAnsi="Century Gothic"/>
          <w:sz w:val="24"/>
          <w:szCs w:val="24"/>
        </w:rPr>
        <w:t>la survie même de l’entreprise</w:t>
      </w:r>
      <w:proofErr w:type="gramStart"/>
      <w:r w:rsidRPr="0008076C">
        <w:rPr>
          <w:rFonts w:ascii="Century Gothic" w:eastAsia="Century Gothic" w:hAnsi="Century Gothic"/>
          <w:sz w:val="24"/>
          <w:szCs w:val="24"/>
        </w:rPr>
        <w:t>.»</w:t>
      </w:r>
      <w:proofErr w:type="gramEnd"/>
      <w:r w:rsidRPr="0008076C">
        <w:rPr>
          <w:rFonts w:ascii="Century Gothic" w:eastAsia="Century Gothic" w:hAnsi="Century Gothic"/>
          <w:sz w:val="24"/>
          <w:szCs w:val="24"/>
        </w:rPr>
        <w:t xml:space="preserve"> Par conséquent, la crise est une résultante de la matérialisation de risque(s)</w:t>
      </w:r>
      <w:r>
        <w:rPr>
          <w:rFonts w:ascii="Century Gothic" w:eastAsia="Century Gothic" w:hAnsi="Century Gothic"/>
          <w:sz w:val="24"/>
          <w:szCs w:val="24"/>
        </w:rPr>
        <w:t xml:space="preserve"> </w:t>
      </w:r>
      <w:r w:rsidRPr="0008076C">
        <w:rPr>
          <w:rFonts w:ascii="Century Gothic" w:eastAsia="Century Gothic" w:hAnsi="Century Gothic"/>
          <w:sz w:val="24"/>
          <w:szCs w:val="24"/>
        </w:rPr>
        <w:t>ayant des impacts non maîtrisables pouvant mettre en péril la réputation, les</w:t>
      </w:r>
      <w:r>
        <w:rPr>
          <w:rFonts w:ascii="Century Gothic" w:eastAsia="Century Gothic" w:hAnsi="Century Gothic"/>
          <w:sz w:val="24"/>
          <w:szCs w:val="24"/>
        </w:rPr>
        <w:t xml:space="preserve"> </w:t>
      </w:r>
      <w:r w:rsidRPr="0008076C">
        <w:rPr>
          <w:rFonts w:ascii="Century Gothic" w:eastAsia="Century Gothic" w:hAnsi="Century Gothic"/>
          <w:sz w:val="24"/>
          <w:szCs w:val="24"/>
        </w:rPr>
        <w:t>opérations, voire la pérennité même, de l’entreprise ou de la structure qui la</w:t>
      </w:r>
      <w:r>
        <w:rPr>
          <w:rFonts w:ascii="Century Gothic" w:eastAsia="Century Gothic" w:hAnsi="Century Gothic"/>
          <w:sz w:val="24"/>
          <w:szCs w:val="24"/>
        </w:rPr>
        <w:t xml:space="preserve"> </w:t>
      </w:r>
      <w:r w:rsidRPr="0008076C">
        <w:rPr>
          <w:rFonts w:ascii="Century Gothic" w:eastAsia="Century Gothic" w:hAnsi="Century Gothic"/>
          <w:sz w:val="24"/>
          <w:szCs w:val="24"/>
        </w:rPr>
        <w:t>subit. En règle générale, la crise est imprévisible, et lorsqu’elle se matérialise,</w:t>
      </w:r>
      <w:r>
        <w:rPr>
          <w:rFonts w:ascii="Century Gothic" w:eastAsia="Century Gothic" w:hAnsi="Century Gothic"/>
          <w:sz w:val="24"/>
          <w:szCs w:val="24"/>
        </w:rPr>
        <w:t xml:space="preserve"> </w:t>
      </w:r>
      <w:r w:rsidRPr="0008076C">
        <w:rPr>
          <w:rFonts w:ascii="Century Gothic" w:eastAsia="Century Gothic" w:hAnsi="Century Gothic"/>
          <w:sz w:val="24"/>
          <w:szCs w:val="24"/>
        </w:rPr>
        <w:t>elle est généralement source de désorganisation et l’entreprise qui en est</w:t>
      </w:r>
      <w:r>
        <w:rPr>
          <w:rFonts w:ascii="Century Gothic" w:eastAsia="Century Gothic" w:hAnsi="Century Gothic"/>
          <w:sz w:val="24"/>
          <w:szCs w:val="24"/>
        </w:rPr>
        <w:t xml:space="preserve"> </w:t>
      </w:r>
      <w:r w:rsidRPr="0008076C">
        <w:rPr>
          <w:rFonts w:ascii="Century Gothic" w:eastAsia="Century Gothic" w:hAnsi="Century Gothic"/>
          <w:sz w:val="24"/>
          <w:szCs w:val="24"/>
        </w:rPr>
        <w:t xml:space="preserve">victime </w:t>
      </w:r>
      <w:r w:rsidRPr="0008076C">
        <w:rPr>
          <w:rFonts w:ascii="Century Gothic" w:eastAsia="Century Gothic" w:hAnsi="Century Gothic"/>
          <w:sz w:val="24"/>
          <w:szCs w:val="24"/>
        </w:rPr>
        <w:lastRenderedPageBreak/>
        <w:t>doit être en mesure de fournir immédiatement des réponses adaptées et</w:t>
      </w:r>
      <w:r>
        <w:rPr>
          <w:rFonts w:ascii="Century Gothic" w:eastAsia="Century Gothic" w:hAnsi="Century Gothic"/>
          <w:sz w:val="24"/>
          <w:szCs w:val="24"/>
        </w:rPr>
        <w:t xml:space="preserve"> </w:t>
      </w:r>
      <w:r w:rsidRPr="0008076C">
        <w:rPr>
          <w:rFonts w:ascii="Century Gothic" w:eastAsia="Century Gothic" w:hAnsi="Century Gothic"/>
          <w:sz w:val="24"/>
          <w:szCs w:val="24"/>
        </w:rPr>
        <w:t>justement calibrées en fonction de la typologie de celle-ci.</w:t>
      </w:r>
    </w:p>
    <w:p w14:paraId="31880023" w14:textId="497A1435" w:rsidR="0008076C" w:rsidRDefault="0008076C" w:rsidP="0008076C">
      <w:pPr>
        <w:spacing w:line="360" w:lineRule="auto"/>
        <w:ind w:firstLine="708"/>
        <w:jc w:val="both"/>
        <w:rPr>
          <w:rFonts w:ascii="Century Gothic" w:eastAsia="Century Gothic" w:hAnsi="Century Gothic"/>
          <w:sz w:val="24"/>
          <w:szCs w:val="24"/>
        </w:rPr>
      </w:pPr>
    </w:p>
    <w:p w14:paraId="6B6618C2" w14:textId="70E3C58A" w:rsidR="0008076C" w:rsidRDefault="00AB06F4" w:rsidP="00AB06F4">
      <w:pPr>
        <w:pStyle w:val="Titre1"/>
        <w:numPr>
          <w:ilvl w:val="0"/>
          <w:numId w:val="3"/>
        </w:numPr>
        <w:rPr>
          <w:rFonts w:eastAsia="Century Gothic"/>
        </w:rPr>
      </w:pPr>
      <w:bookmarkStart w:id="1" w:name="_Toc63194667"/>
      <w:r w:rsidRPr="00AB06F4">
        <w:rPr>
          <w:rFonts w:eastAsia="Century Gothic"/>
        </w:rPr>
        <w:t>LES SPECIFICITES D’UNE GESTION DE CRISE CYBER</w:t>
      </w:r>
      <w:bookmarkEnd w:id="1"/>
    </w:p>
    <w:p w14:paraId="6D1E3943" w14:textId="77777777" w:rsidR="0069442C" w:rsidRPr="0069442C" w:rsidRDefault="0069442C" w:rsidP="0069442C"/>
    <w:p w14:paraId="4B676E15" w14:textId="3E109BB8" w:rsidR="00AB06F4" w:rsidRDefault="00AB06F4" w:rsidP="005D22B3">
      <w:pPr>
        <w:spacing w:line="360" w:lineRule="auto"/>
        <w:ind w:firstLine="360"/>
        <w:jc w:val="both"/>
        <w:rPr>
          <w:rFonts w:ascii="Century Gothic" w:eastAsia="Century Gothic" w:hAnsi="Century Gothic"/>
          <w:sz w:val="24"/>
          <w:szCs w:val="24"/>
        </w:rPr>
      </w:pPr>
      <w:r w:rsidRPr="00AB06F4">
        <w:rPr>
          <w:rFonts w:ascii="Century Gothic" w:eastAsia="Century Gothic" w:hAnsi="Century Gothic"/>
          <w:sz w:val="24"/>
          <w:szCs w:val="24"/>
        </w:rPr>
        <w:t>La gestion de crise cyber doit être pluridisciplinaire : elle est notamment</w:t>
      </w:r>
      <w:r>
        <w:rPr>
          <w:rFonts w:ascii="Century Gothic" w:eastAsia="Century Gothic" w:hAnsi="Century Gothic"/>
          <w:sz w:val="24"/>
          <w:szCs w:val="24"/>
        </w:rPr>
        <w:t xml:space="preserve"> </w:t>
      </w:r>
      <w:r w:rsidRPr="00AB06F4">
        <w:rPr>
          <w:rFonts w:ascii="Century Gothic" w:eastAsia="Century Gothic" w:hAnsi="Century Gothic"/>
          <w:sz w:val="24"/>
          <w:szCs w:val="24"/>
        </w:rPr>
        <w:t>au croisement de la gestion du risque et de la sécurité informatique (donc</w:t>
      </w:r>
      <w:r>
        <w:rPr>
          <w:rFonts w:ascii="Century Gothic" w:eastAsia="Century Gothic" w:hAnsi="Century Gothic"/>
          <w:sz w:val="24"/>
          <w:szCs w:val="24"/>
        </w:rPr>
        <w:t xml:space="preserve"> </w:t>
      </w:r>
      <w:r w:rsidRPr="00AB06F4">
        <w:rPr>
          <w:rFonts w:ascii="Century Gothic" w:eastAsia="Century Gothic" w:hAnsi="Century Gothic"/>
          <w:sz w:val="24"/>
          <w:szCs w:val="24"/>
        </w:rPr>
        <w:t>technique). Les experts techniques seront au service du décisionnaire dans</w:t>
      </w:r>
      <w:r>
        <w:rPr>
          <w:rFonts w:ascii="Century Gothic" w:eastAsia="Century Gothic" w:hAnsi="Century Gothic"/>
          <w:sz w:val="24"/>
          <w:szCs w:val="24"/>
        </w:rPr>
        <w:t xml:space="preserve"> </w:t>
      </w:r>
      <w:r w:rsidRPr="00AB06F4">
        <w:rPr>
          <w:rFonts w:ascii="Century Gothic" w:eastAsia="Century Gothic" w:hAnsi="Century Gothic"/>
          <w:sz w:val="24"/>
          <w:szCs w:val="24"/>
        </w:rPr>
        <w:t xml:space="preserve">cette gestion. </w:t>
      </w:r>
      <w:r w:rsidR="005D22B3">
        <w:rPr>
          <w:rFonts w:ascii="Century Gothic" w:eastAsia="Century Gothic" w:hAnsi="Century Gothic"/>
          <w:sz w:val="24"/>
          <w:szCs w:val="24"/>
        </w:rPr>
        <w:t xml:space="preserve">Une </w:t>
      </w:r>
      <w:r w:rsidRPr="00AB06F4">
        <w:rPr>
          <w:rFonts w:ascii="Century Gothic" w:eastAsia="Century Gothic" w:hAnsi="Century Gothic"/>
          <w:sz w:val="24"/>
          <w:szCs w:val="24"/>
        </w:rPr>
        <w:t xml:space="preserve">particularité des crises cyber est que l’attaque, en altérant le SI de l’entreprise, peut directement diminuer sa capacité de réponse. Il convient donc de disposer d’un dispositif de gestion de crise qui permette de pallier à cette possibilité et par conséquent : </w:t>
      </w:r>
    </w:p>
    <w:p w14:paraId="05366F5E" w14:textId="15997894" w:rsidR="00AB06F4" w:rsidRDefault="00AB06F4" w:rsidP="00AB06F4">
      <w:pPr>
        <w:pStyle w:val="Paragraphedeliste"/>
        <w:numPr>
          <w:ilvl w:val="1"/>
          <w:numId w:val="4"/>
        </w:numPr>
        <w:spacing w:line="360" w:lineRule="auto"/>
        <w:jc w:val="both"/>
        <w:rPr>
          <w:rFonts w:ascii="Century Gothic" w:eastAsia="Century Gothic" w:hAnsi="Century Gothic"/>
          <w:sz w:val="24"/>
          <w:szCs w:val="24"/>
        </w:rPr>
      </w:pPr>
      <w:r>
        <w:rPr>
          <w:rFonts w:ascii="Century Gothic" w:eastAsia="Century Gothic" w:hAnsi="Century Gothic"/>
          <w:sz w:val="24"/>
          <w:szCs w:val="24"/>
        </w:rPr>
        <w:t>P</w:t>
      </w:r>
      <w:r w:rsidRPr="00AB06F4">
        <w:rPr>
          <w:rFonts w:ascii="Century Gothic" w:eastAsia="Century Gothic" w:hAnsi="Century Gothic"/>
          <w:sz w:val="24"/>
          <w:szCs w:val="24"/>
        </w:rPr>
        <w:t>révoir des moyens de gestion de crise hors SI</w:t>
      </w:r>
      <w:r w:rsidRPr="00AB06F4">
        <w:rPr>
          <w:rFonts w:ascii="Arial" w:eastAsia="Century Gothic" w:hAnsi="Arial" w:cs="Arial"/>
          <w:sz w:val="24"/>
          <w:szCs w:val="24"/>
        </w:rPr>
        <w:t> </w:t>
      </w:r>
      <w:r w:rsidRPr="00AB06F4">
        <w:rPr>
          <w:rFonts w:ascii="Century Gothic" w:eastAsia="Century Gothic" w:hAnsi="Century Gothic"/>
          <w:sz w:val="24"/>
          <w:szCs w:val="24"/>
        </w:rPr>
        <w:t>;</w:t>
      </w:r>
    </w:p>
    <w:p w14:paraId="1F107835" w14:textId="38F92D21" w:rsidR="00AB06F4" w:rsidRDefault="00AB06F4" w:rsidP="00AB06F4">
      <w:pPr>
        <w:pStyle w:val="Paragraphedeliste"/>
        <w:numPr>
          <w:ilvl w:val="1"/>
          <w:numId w:val="4"/>
        </w:numPr>
        <w:spacing w:line="360" w:lineRule="auto"/>
        <w:jc w:val="both"/>
        <w:rPr>
          <w:rFonts w:ascii="Century Gothic" w:eastAsia="Century Gothic" w:hAnsi="Century Gothic"/>
          <w:sz w:val="24"/>
          <w:szCs w:val="24"/>
        </w:rPr>
      </w:pPr>
      <w:r>
        <w:rPr>
          <w:rFonts w:ascii="Century Gothic" w:eastAsia="Century Gothic" w:hAnsi="Century Gothic"/>
          <w:sz w:val="24"/>
          <w:szCs w:val="24"/>
        </w:rPr>
        <w:t>S</w:t>
      </w:r>
      <w:r w:rsidRPr="00AB06F4">
        <w:rPr>
          <w:rFonts w:ascii="Century Gothic" w:eastAsia="Century Gothic" w:hAnsi="Century Gothic"/>
          <w:sz w:val="24"/>
          <w:szCs w:val="24"/>
        </w:rPr>
        <w:t>e doter de postes de travail durcis hors des domaines d’administration ;</w:t>
      </w:r>
    </w:p>
    <w:p w14:paraId="18092B7F" w14:textId="75C6179A" w:rsidR="005D22B3" w:rsidRDefault="00AB06F4" w:rsidP="005D22B3">
      <w:pPr>
        <w:pStyle w:val="Paragraphedeliste"/>
        <w:numPr>
          <w:ilvl w:val="1"/>
          <w:numId w:val="4"/>
        </w:numPr>
        <w:spacing w:line="360" w:lineRule="auto"/>
        <w:jc w:val="both"/>
        <w:rPr>
          <w:rFonts w:ascii="Century Gothic" w:eastAsia="Century Gothic" w:hAnsi="Century Gothic"/>
          <w:sz w:val="24"/>
          <w:szCs w:val="24"/>
        </w:rPr>
      </w:pPr>
      <w:r w:rsidRPr="00AB06F4">
        <w:rPr>
          <w:rFonts w:ascii="Century Gothic" w:eastAsia="Century Gothic" w:hAnsi="Century Gothic"/>
          <w:sz w:val="24"/>
          <w:szCs w:val="24"/>
        </w:rPr>
        <w:t>D’exploiter des services d’échange et de communication externes (par exemple des services cloud).</w:t>
      </w:r>
    </w:p>
    <w:p w14:paraId="4B847092" w14:textId="42F5C6DD" w:rsidR="005D22B3" w:rsidRDefault="005D22B3" w:rsidP="005D22B3">
      <w:pPr>
        <w:spacing w:line="360" w:lineRule="auto"/>
        <w:jc w:val="both"/>
        <w:rPr>
          <w:rFonts w:ascii="Century Gothic" w:eastAsia="Century Gothic" w:hAnsi="Century Gothic"/>
          <w:sz w:val="24"/>
          <w:szCs w:val="24"/>
        </w:rPr>
      </w:pPr>
    </w:p>
    <w:p w14:paraId="69DAF57B" w14:textId="4BC442E0" w:rsidR="005D22B3" w:rsidRDefault="005D22B3" w:rsidP="005D22B3">
      <w:pPr>
        <w:pStyle w:val="Titre1"/>
        <w:numPr>
          <w:ilvl w:val="0"/>
          <w:numId w:val="3"/>
        </w:numPr>
        <w:rPr>
          <w:rFonts w:eastAsia="Century Gothic"/>
        </w:rPr>
      </w:pPr>
      <w:bookmarkStart w:id="2" w:name="_Toc63194668"/>
      <w:r w:rsidRPr="005D22B3">
        <w:rPr>
          <w:rFonts w:eastAsia="Century Gothic"/>
        </w:rPr>
        <w:t>DISPOSITIF DE GESTION DE CRISE</w:t>
      </w:r>
      <w:bookmarkEnd w:id="2"/>
      <w:r w:rsidR="00ED2E62">
        <w:rPr>
          <w:rFonts w:eastAsia="Century Gothic"/>
        </w:rPr>
        <w:t xml:space="preserve"> A MEDIA CONTACT</w:t>
      </w:r>
    </w:p>
    <w:p w14:paraId="57BB73EF" w14:textId="741083FF" w:rsidR="005D22B3" w:rsidRDefault="005D22B3" w:rsidP="005D22B3">
      <w:pPr>
        <w:tabs>
          <w:tab w:val="left" w:pos="1524"/>
        </w:tabs>
      </w:pPr>
    </w:p>
    <w:p w14:paraId="38A4B7D0" w14:textId="328D06A1" w:rsidR="005D22B3" w:rsidRPr="005D22B3" w:rsidRDefault="005D22B3" w:rsidP="005D22B3">
      <w:pPr>
        <w:tabs>
          <w:tab w:val="left" w:pos="1524"/>
        </w:tabs>
        <w:spacing w:line="360" w:lineRule="auto"/>
        <w:jc w:val="both"/>
        <w:rPr>
          <w:rFonts w:ascii="Century Gothic" w:eastAsia="Century Gothic" w:hAnsi="Century Gothic"/>
          <w:sz w:val="24"/>
          <w:szCs w:val="24"/>
        </w:rPr>
      </w:pPr>
      <w:r w:rsidRPr="005D22B3">
        <w:rPr>
          <w:rFonts w:ascii="Century Gothic" w:eastAsia="Century Gothic" w:hAnsi="Century Gothic"/>
          <w:sz w:val="24"/>
          <w:szCs w:val="24"/>
        </w:rPr>
        <w:t xml:space="preserve">L’organisation de la gestion de crise </w:t>
      </w:r>
      <w:r w:rsidR="00ED2E62">
        <w:rPr>
          <w:rFonts w:ascii="Century Gothic" w:eastAsia="Century Gothic" w:hAnsi="Century Gothic"/>
          <w:sz w:val="24"/>
          <w:szCs w:val="24"/>
        </w:rPr>
        <w:t xml:space="preserve">au sein de MEDIA CONTACT respecte certains </w:t>
      </w:r>
      <w:r w:rsidRPr="005D22B3">
        <w:rPr>
          <w:rFonts w:ascii="Century Gothic" w:eastAsia="Century Gothic" w:hAnsi="Century Gothic"/>
          <w:sz w:val="24"/>
          <w:szCs w:val="24"/>
        </w:rPr>
        <w:t xml:space="preserve">principes </w:t>
      </w:r>
      <w:r w:rsidR="00ED2E62">
        <w:rPr>
          <w:rFonts w:ascii="Century Gothic" w:eastAsia="Century Gothic" w:hAnsi="Century Gothic"/>
          <w:sz w:val="24"/>
          <w:szCs w:val="24"/>
        </w:rPr>
        <w:t>parmi lesquels on peut citer</w:t>
      </w:r>
      <w:r w:rsidRPr="005D22B3">
        <w:rPr>
          <w:rFonts w:ascii="Century Gothic" w:eastAsia="Century Gothic" w:hAnsi="Century Gothic"/>
          <w:sz w:val="24"/>
          <w:szCs w:val="24"/>
        </w:rPr>
        <w:t xml:space="preserve"> :</w:t>
      </w:r>
    </w:p>
    <w:p w14:paraId="2F4F51CA" w14:textId="2FFBE846" w:rsidR="005D22B3" w:rsidRPr="005D22B3"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rPr>
      </w:pPr>
      <w:r w:rsidRPr="005D22B3">
        <w:rPr>
          <w:rFonts w:ascii="Century Gothic" w:eastAsia="Century Gothic" w:hAnsi="Century Gothic"/>
          <w:sz w:val="24"/>
          <w:szCs w:val="24"/>
        </w:rPr>
        <w:t xml:space="preserve">Un pilotage stratégique, assuré par la tête de l’entité. La fuite de données n’étant pas seulement une crise informatique, le pilotage sera assuré par la </w:t>
      </w:r>
      <w:r w:rsidR="005B381E">
        <w:rPr>
          <w:rFonts w:ascii="Century Gothic" w:eastAsia="Century Gothic" w:hAnsi="Century Gothic"/>
          <w:sz w:val="24"/>
          <w:szCs w:val="24"/>
        </w:rPr>
        <w:t>D</w:t>
      </w:r>
      <w:r w:rsidRPr="005D22B3">
        <w:rPr>
          <w:rFonts w:ascii="Century Gothic" w:eastAsia="Century Gothic" w:hAnsi="Century Gothic"/>
          <w:sz w:val="24"/>
          <w:szCs w:val="24"/>
        </w:rPr>
        <w:t xml:space="preserve">irection </w:t>
      </w:r>
      <w:r w:rsidR="005B381E">
        <w:rPr>
          <w:rFonts w:ascii="Century Gothic" w:eastAsia="Century Gothic" w:hAnsi="Century Gothic"/>
          <w:sz w:val="24"/>
          <w:szCs w:val="24"/>
        </w:rPr>
        <w:t>G</w:t>
      </w:r>
      <w:r w:rsidRPr="005D22B3">
        <w:rPr>
          <w:rFonts w:ascii="Century Gothic" w:eastAsia="Century Gothic" w:hAnsi="Century Gothic"/>
          <w:sz w:val="24"/>
          <w:szCs w:val="24"/>
        </w:rPr>
        <w:t xml:space="preserve">énérale, </w:t>
      </w:r>
      <w:r w:rsidR="005B381E">
        <w:rPr>
          <w:rFonts w:ascii="Century Gothic" w:eastAsia="Century Gothic" w:hAnsi="Century Gothic"/>
          <w:sz w:val="24"/>
          <w:szCs w:val="24"/>
        </w:rPr>
        <w:t>D</w:t>
      </w:r>
      <w:r w:rsidRPr="005D22B3">
        <w:rPr>
          <w:rFonts w:ascii="Century Gothic" w:eastAsia="Century Gothic" w:hAnsi="Century Gothic"/>
          <w:sz w:val="24"/>
          <w:szCs w:val="24"/>
        </w:rPr>
        <w:t xml:space="preserve">irecteur sécurité et (secrétaire </w:t>
      </w:r>
      <w:r w:rsidRPr="005D22B3">
        <w:rPr>
          <w:rFonts w:ascii="Century Gothic" w:eastAsia="Century Gothic" w:hAnsi="Century Gothic"/>
          <w:sz w:val="24"/>
          <w:szCs w:val="24"/>
        </w:rPr>
        <w:lastRenderedPageBreak/>
        <w:t>général) …, qui f</w:t>
      </w:r>
      <w:r w:rsidR="005B381E">
        <w:rPr>
          <w:rFonts w:ascii="Century Gothic" w:eastAsia="Century Gothic" w:hAnsi="Century Gothic"/>
          <w:sz w:val="24"/>
          <w:szCs w:val="24"/>
        </w:rPr>
        <w:t>era</w:t>
      </w:r>
      <w:r w:rsidRPr="005D22B3">
        <w:rPr>
          <w:rFonts w:ascii="Century Gothic" w:eastAsia="Century Gothic" w:hAnsi="Century Gothic"/>
          <w:sz w:val="24"/>
          <w:szCs w:val="24"/>
        </w:rPr>
        <w:t xml:space="preserve"> la synthèse entre la vision business et les réalités techniques. L’implication du top management est ainsi l’une des conditions essentielles de l’efficacité du dispositif</w:t>
      </w:r>
      <w:r w:rsidR="00A46FE5">
        <w:rPr>
          <w:rFonts w:ascii="Century Gothic" w:eastAsia="Century Gothic" w:hAnsi="Century Gothic"/>
          <w:sz w:val="24"/>
          <w:szCs w:val="24"/>
        </w:rPr>
        <w:t> ;</w:t>
      </w:r>
    </w:p>
    <w:p w14:paraId="622AAD99" w14:textId="1917C567" w:rsidR="005D22B3" w:rsidRPr="005D22B3"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rPr>
      </w:pPr>
      <w:r w:rsidRPr="005D22B3">
        <w:rPr>
          <w:rFonts w:ascii="Century Gothic" w:eastAsia="Century Gothic" w:hAnsi="Century Gothic"/>
          <w:sz w:val="24"/>
          <w:szCs w:val="24"/>
        </w:rPr>
        <w:t>Une conduite opérationnelle assurée par le ou les métiers impliqués.</w:t>
      </w:r>
      <w:r w:rsidR="00A46FE5">
        <w:rPr>
          <w:rFonts w:ascii="Century Gothic" w:eastAsia="Century Gothic" w:hAnsi="Century Gothic"/>
          <w:sz w:val="24"/>
          <w:szCs w:val="24"/>
        </w:rPr>
        <w:t> ;</w:t>
      </w:r>
    </w:p>
    <w:p w14:paraId="51EA9B6D" w14:textId="29F0F5C3" w:rsidR="005D22B3" w:rsidRPr="005D22B3"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rPr>
      </w:pPr>
      <w:r w:rsidRPr="005D22B3">
        <w:rPr>
          <w:rFonts w:ascii="Century Gothic" w:eastAsia="Century Gothic" w:hAnsi="Century Gothic"/>
          <w:sz w:val="24"/>
          <w:szCs w:val="24"/>
        </w:rPr>
        <w:t xml:space="preserve">La mobilisation d’experts internes ou externes </w:t>
      </w:r>
      <w:r w:rsidR="00ED2E62">
        <w:rPr>
          <w:rFonts w:ascii="Century Gothic" w:eastAsia="Century Gothic" w:hAnsi="Century Gothic"/>
          <w:sz w:val="24"/>
          <w:szCs w:val="24"/>
        </w:rPr>
        <w:t xml:space="preserve">(si nécessaire) </w:t>
      </w:r>
      <w:r w:rsidRPr="005D22B3">
        <w:rPr>
          <w:rFonts w:ascii="Century Gothic" w:eastAsia="Century Gothic" w:hAnsi="Century Gothic"/>
          <w:sz w:val="24"/>
          <w:szCs w:val="24"/>
        </w:rPr>
        <w:t>qui apporteront un éclairage complémentaire et un certain recul sur la situation. Les experts externes pourront aussi constituer des alliés précieux en matière de communication</w:t>
      </w:r>
      <w:r w:rsidR="00A46FE5">
        <w:rPr>
          <w:rFonts w:ascii="Century Gothic" w:eastAsia="Century Gothic" w:hAnsi="Century Gothic"/>
          <w:sz w:val="24"/>
          <w:szCs w:val="24"/>
        </w:rPr>
        <w:t> ;</w:t>
      </w:r>
    </w:p>
    <w:p w14:paraId="1CB80975" w14:textId="5A732BD6" w:rsidR="005D22B3"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rPr>
      </w:pPr>
      <w:r w:rsidRPr="005D22B3">
        <w:rPr>
          <w:rFonts w:ascii="Century Gothic" w:eastAsia="Century Gothic" w:hAnsi="Century Gothic"/>
          <w:sz w:val="24"/>
          <w:szCs w:val="24"/>
        </w:rPr>
        <w:t>Une veille et un suivi de situation permanents</w:t>
      </w:r>
      <w:r w:rsidR="00A46FE5">
        <w:rPr>
          <w:rFonts w:ascii="Century Gothic" w:eastAsia="Century Gothic" w:hAnsi="Century Gothic"/>
          <w:sz w:val="24"/>
          <w:szCs w:val="24"/>
        </w:rPr>
        <w:t>.</w:t>
      </w:r>
    </w:p>
    <w:p w14:paraId="0F658557" w14:textId="35534514" w:rsidR="008505AC" w:rsidRDefault="008505AC" w:rsidP="008505AC">
      <w:pPr>
        <w:tabs>
          <w:tab w:val="left" w:pos="1524"/>
        </w:tabs>
        <w:spacing w:line="360" w:lineRule="auto"/>
        <w:ind w:left="360"/>
        <w:jc w:val="center"/>
        <w:rPr>
          <w:rFonts w:ascii="Century Gothic" w:eastAsia="Century Gothic" w:hAnsi="Century Gothic"/>
          <w:sz w:val="24"/>
          <w:szCs w:val="24"/>
        </w:rPr>
      </w:pPr>
      <w:r>
        <w:rPr>
          <w:noProof/>
        </w:rPr>
        <w:drawing>
          <wp:inline distT="0" distB="0" distL="0" distR="0" wp14:anchorId="530F8B3C" wp14:editId="7C03B568">
            <wp:extent cx="5760720" cy="42932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293235"/>
                    </a:xfrm>
                    <a:prstGeom prst="rect">
                      <a:avLst/>
                    </a:prstGeom>
                  </pic:spPr>
                </pic:pic>
              </a:graphicData>
            </a:graphic>
          </wp:inline>
        </w:drawing>
      </w:r>
    </w:p>
    <w:p w14:paraId="302FE204" w14:textId="1BD14DF9" w:rsidR="008505AC" w:rsidRDefault="008505AC" w:rsidP="008505AC">
      <w:pPr>
        <w:tabs>
          <w:tab w:val="left" w:pos="1524"/>
        </w:tabs>
        <w:spacing w:line="360" w:lineRule="auto"/>
        <w:ind w:left="360"/>
        <w:rPr>
          <w:rFonts w:ascii="Century Gothic" w:eastAsia="Century Gothic" w:hAnsi="Century Gothic"/>
          <w:sz w:val="24"/>
          <w:szCs w:val="24"/>
        </w:rPr>
      </w:pPr>
    </w:p>
    <w:p w14:paraId="47A90A4E" w14:textId="52EDC0D1" w:rsidR="00E80038" w:rsidRDefault="00E80038" w:rsidP="008505AC">
      <w:pPr>
        <w:tabs>
          <w:tab w:val="left" w:pos="1524"/>
        </w:tabs>
        <w:spacing w:line="360" w:lineRule="auto"/>
        <w:ind w:left="360"/>
        <w:rPr>
          <w:rFonts w:ascii="Century Gothic" w:eastAsia="Century Gothic" w:hAnsi="Century Gothic"/>
          <w:sz w:val="24"/>
          <w:szCs w:val="24"/>
        </w:rPr>
      </w:pPr>
    </w:p>
    <w:p w14:paraId="060B03BF" w14:textId="77777777" w:rsidR="00E80038" w:rsidRDefault="00E80038" w:rsidP="008505AC">
      <w:pPr>
        <w:tabs>
          <w:tab w:val="left" w:pos="1524"/>
        </w:tabs>
        <w:spacing w:line="360" w:lineRule="auto"/>
        <w:ind w:left="360"/>
        <w:rPr>
          <w:rFonts w:ascii="Century Gothic" w:eastAsia="Century Gothic" w:hAnsi="Century Gothic"/>
          <w:sz w:val="24"/>
          <w:szCs w:val="24"/>
        </w:rPr>
      </w:pPr>
    </w:p>
    <w:p w14:paraId="1D2870E4" w14:textId="43165209" w:rsidR="00DB6E3A" w:rsidRDefault="00ED2E62" w:rsidP="00DB6E3A">
      <w:pPr>
        <w:pStyle w:val="Titre1"/>
        <w:numPr>
          <w:ilvl w:val="0"/>
          <w:numId w:val="3"/>
        </w:numPr>
        <w:rPr>
          <w:rFonts w:eastAsia="Century Gothic"/>
        </w:rPr>
      </w:pPr>
      <w:bookmarkStart w:id="3" w:name="_Toc63194669"/>
      <w:r w:rsidRPr="008505AC">
        <w:rPr>
          <w:rFonts w:eastAsia="Century Gothic"/>
        </w:rPr>
        <w:lastRenderedPageBreak/>
        <w:t>LES GRANDES ETAPES DE LA GESTION DE CRISE</w:t>
      </w:r>
      <w:bookmarkEnd w:id="3"/>
      <w:r>
        <w:rPr>
          <w:rFonts w:eastAsia="Century Gothic"/>
        </w:rPr>
        <w:t xml:space="preserve"> A MEDIA CONTACT</w:t>
      </w:r>
    </w:p>
    <w:p w14:paraId="3D08C9B1" w14:textId="152E6ECF" w:rsidR="00DB6E3A" w:rsidRDefault="00DB6E3A" w:rsidP="00DB6E3A"/>
    <w:p w14:paraId="09A60EFC"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 xml:space="preserve">Etape 1 : l’alerte. </w:t>
      </w:r>
    </w:p>
    <w:p w14:paraId="5FE1E8D3" w14:textId="77777777" w:rsidR="00952A27" w:rsidRDefault="00DB6E3A" w:rsidP="00952A27">
      <w:pPr>
        <w:pStyle w:val="Paragraphedeliste"/>
        <w:numPr>
          <w:ilvl w:val="0"/>
          <w:numId w:val="7"/>
        </w:numPr>
        <w:spacing w:line="360" w:lineRule="auto"/>
        <w:jc w:val="both"/>
        <w:rPr>
          <w:rFonts w:ascii="Century Gothic" w:eastAsia="Century Gothic" w:hAnsi="Century Gothic"/>
          <w:sz w:val="24"/>
          <w:szCs w:val="24"/>
        </w:rPr>
      </w:pPr>
      <w:r w:rsidRPr="00952A27">
        <w:rPr>
          <w:rFonts w:ascii="Century Gothic" w:eastAsia="Century Gothic" w:hAnsi="Century Gothic"/>
          <w:sz w:val="24"/>
          <w:szCs w:val="24"/>
        </w:rPr>
        <w:t>Un lanceur d’alerte signale une fuite de données directement à l’organisation</w:t>
      </w:r>
      <w:r w:rsidR="00952A27" w:rsidRPr="00952A27">
        <w:rPr>
          <w:rFonts w:ascii="Century Gothic" w:eastAsia="Century Gothic" w:hAnsi="Century Gothic"/>
          <w:sz w:val="24"/>
          <w:szCs w:val="24"/>
        </w:rPr>
        <w:t xml:space="preserve"> </w:t>
      </w:r>
      <w:r w:rsidRPr="00952A27">
        <w:rPr>
          <w:rFonts w:ascii="Century Gothic" w:eastAsia="Century Gothic" w:hAnsi="Century Gothic"/>
          <w:sz w:val="24"/>
          <w:szCs w:val="24"/>
        </w:rPr>
        <w:t>ce qui appelle une réponse rapide de façon</w:t>
      </w:r>
      <w:r w:rsidR="00952A27" w:rsidRPr="00952A27">
        <w:rPr>
          <w:rFonts w:ascii="Century Gothic" w:eastAsia="Century Gothic" w:hAnsi="Century Gothic"/>
          <w:sz w:val="24"/>
          <w:szCs w:val="24"/>
        </w:rPr>
        <w:t xml:space="preserve"> </w:t>
      </w:r>
      <w:r w:rsidRPr="00952A27">
        <w:rPr>
          <w:rFonts w:ascii="Century Gothic" w:eastAsia="Century Gothic" w:hAnsi="Century Gothic"/>
          <w:sz w:val="24"/>
          <w:szCs w:val="24"/>
        </w:rPr>
        <w:t>à éviter que l’information ne se propage dans la presse ;</w:t>
      </w:r>
    </w:p>
    <w:p w14:paraId="6D12ABBD" w14:textId="570A064E" w:rsidR="00952A27" w:rsidRDefault="00DB6E3A" w:rsidP="00952A27">
      <w:pPr>
        <w:pStyle w:val="Paragraphedeliste"/>
        <w:numPr>
          <w:ilvl w:val="0"/>
          <w:numId w:val="7"/>
        </w:numPr>
        <w:spacing w:line="360" w:lineRule="auto"/>
        <w:jc w:val="both"/>
        <w:rPr>
          <w:rFonts w:ascii="Century Gothic" w:eastAsia="Century Gothic" w:hAnsi="Century Gothic"/>
          <w:sz w:val="24"/>
          <w:szCs w:val="24"/>
        </w:rPr>
      </w:pPr>
      <w:r w:rsidRPr="00952A27">
        <w:rPr>
          <w:rFonts w:ascii="Century Gothic" w:eastAsia="Century Gothic" w:hAnsi="Century Gothic"/>
          <w:sz w:val="24"/>
          <w:szCs w:val="24"/>
        </w:rPr>
        <w:t>Un hacker signale lui-même la fuite à l’entreprise. Là aussi, l’information devra être</w:t>
      </w:r>
      <w:r w:rsidR="00952A27" w:rsidRPr="00952A27">
        <w:rPr>
          <w:rFonts w:ascii="Century Gothic" w:eastAsia="Century Gothic" w:hAnsi="Century Gothic"/>
          <w:sz w:val="24"/>
          <w:szCs w:val="24"/>
        </w:rPr>
        <w:t xml:space="preserve"> </w:t>
      </w:r>
      <w:r w:rsidRPr="00952A27">
        <w:rPr>
          <w:rFonts w:ascii="Century Gothic" w:eastAsia="Century Gothic" w:hAnsi="Century Gothic"/>
          <w:sz w:val="24"/>
          <w:szCs w:val="24"/>
        </w:rPr>
        <w:t>rapidement prise en compte avec toutes les précautions nécessaires</w:t>
      </w:r>
      <w:r w:rsidR="00FB3F70">
        <w:rPr>
          <w:rFonts w:ascii="Century Gothic" w:eastAsia="Century Gothic" w:hAnsi="Century Gothic"/>
          <w:sz w:val="24"/>
          <w:szCs w:val="24"/>
        </w:rPr>
        <w:t>.</w:t>
      </w:r>
    </w:p>
    <w:p w14:paraId="16C923EF" w14:textId="3C78897E" w:rsidR="00DB6E3A" w:rsidRPr="00952A27" w:rsidRDefault="00952A27" w:rsidP="00952A27">
      <w:pPr>
        <w:pStyle w:val="Paragraphedeliste"/>
        <w:numPr>
          <w:ilvl w:val="0"/>
          <w:numId w:val="7"/>
        </w:numPr>
        <w:spacing w:line="360" w:lineRule="auto"/>
        <w:jc w:val="both"/>
        <w:rPr>
          <w:rFonts w:ascii="Century Gothic" w:eastAsia="Century Gothic" w:hAnsi="Century Gothic"/>
          <w:sz w:val="24"/>
          <w:szCs w:val="24"/>
        </w:rPr>
      </w:pPr>
      <w:r w:rsidRPr="00952A27">
        <w:rPr>
          <w:rFonts w:ascii="Century Gothic" w:eastAsia="Century Gothic" w:hAnsi="Century Gothic"/>
          <w:sz w:val="24"/>
          <w:szCs w:val="24"/>
        </w:rPr>
        <w:t>L’equipe sécurité</w:t>
      </w:r>
      <w:r w:rsidR="00DB6E3A" w:rsidRPr="00952A27">
        <w:rPr>
          <w:rFonts w:ascii="Century Gothic" w:eastAsia="Century Gothic" w:hAnsi="Century Gothic"/>
          <w:sz w:val="24"/>
          <w:szCs w:val="24"/>
        </w:rPr>
        <w:t xml:space="preserve"> de l’entreprise</w:t>
      </w:r>
      <w:r w:rsidRP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détecte un incident et</w:t>
      </w:r>
      <w:r w:rsidRP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transmet l’alerte à sa hiérarchie après une première évaluation. Dans le cas d’un</w:t>
      </w:r>
      <w:r w:rsidRP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chantage, s’il faut maintenir un canal de discussion pour gagner du temps</w:t>
      </w:r>
      <w:r w:rsidR="00FB3F70">
        <w:rPr>
          <w:rFonts w:ascii="Century Gothic" w:eastAsia="Century Gothic" w:hAnsi="Century Gothic"/>
          <w:sz w:val="24"/>
          <w:szCs w:val="24"/>
        </w:rPr>
        <w:t>.</w:t>
      </w:r>
    </w:p>
    <w:p w14:paraId="3D743F6C" w14:textId="77777777" w:rsidR="00DB6E3A" w:rsidRPr="00952A27" w:rsidRDefault="00DB6E3A" w:rsidP="00952A27">
      <w:pPr>
        <w:spacing w:line="360" w:lineRule="auto"/>
        <w:jc w:val="both"/>
        <w:rPr>
          <w:rFonts w:ascii="Century Gothic" w:eastAsia="Century Gothic" w:hAnsi="Century Gothic"/>
          <w:sz w:val="24"/>
          <w:szCs w:val="24"/>
        </w:rPr>
      </w:pPr>
    </w:p>
    <w:p w14:paraId="2FB1E388"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 xml:space="preserve">Etape 2 : l’escalade et la mobilisation. </w:t>
      </w:r>
    </w:p>
    <w:p w14:paraId="1259D3C2" w14:textId="773F8A5A" w:rsidR="00DB6E3A" w:rsidRPr="00952A27" w:rsidRDefault="00DB6E3A" w:rsidP="00FB3F70">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Une évaluation plus approfondie est menée pour savoir s’il y a lieu de mobiliser le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dispositif de crise. Tout incident ne constitue pas forcément une crise potentielle. Dans</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le cas d’une fuite de données, il s’agira d’évaluer l’impact en termes de confidentialité</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et d’intégrité des données, en s’appuyant sur les analyses d’impact (</w:t>
      </w:r>
      <w:proofErr w:type="spellStart"/>
      <w:r w:rsidRPr="00952A27">
        <w:rPr>
          <w:rFonts w:ascii="Century Gothic" w:eastAsia="Century Gothic" w:hAnsi="Century Gothic"/>
          <w:sz w:val="24"/>
          <w:szCs w:val="24"/>
        </w:rPr>
        <w:t>Privacy</w:t>
      </w:r>
      <w:proofErr w:type="spellEnd"/>
      <w:r w:rsidRPr="00952A27">
        <w:rPr>
          <w:rFonts w:ascii="Century Gothic" w:eastAsia="Century Gothic" w:hAnsi="Century Gothic"/>
          <w:sz w:val="24"/>
          <w:szCs w:val="24"/>
        </w:rPr>
        <w:t xml:space="preserve"> Impact</w:t>
      </w:r>
      <w:r w:rsidR="00952A27">
        <w:rPr>
          <w:rFonts w:ascii="Century Gothic" w:eastAsia="Century Gothic" w:hAnsi="Century Gothic"/>
          <w:sz w:val="24"/>
          <w:szCs w:val="24"/>
        </w:rPr>
        <w:t xml:space="preserve"> </w:t>
      </w:r>
      <w:proofErr w:type="spellStart"/>
      <w:r w:rsidRPr="00952A27">
        <w:rPr>
          <w:rFonts w:ascii="Century Gothic" w:eastAsia="Century Gothic" w:hAnsi="Century Gothic"/>
          <w:sz w:val="24"/>
          <w:szCs w:val="24"/>
        </w:rPr>
        <w:t>Assessment</w:t>
      </w:r>
      <w:proofErr w:type="spellEnd"/>
      <w:r w:rsidRPr="00952A27">
        <w:rPr>
          <w:rFonts w:ascii="Century Gothic" w:eastAsia="Century Gothic" w:hAnsi="Century Gothic"/>
          <w:sz w:val="24"/>
          <w:szCs w:val="24"/>
        </w:rPr>
        <w:t xml:space="preserve"> ou PIA) qui ont normalement été réalisées pour chaque traitement de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données personnelles. Si l’incident est considéré comme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suffisamment grave sur la base de différents critères (périmètre de la fuite, nature des</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données « fuitées », risque juridique, risque financier, impact en termes d’image…),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le dispositif de crise est alors immédiatement activé.</w:t>
      </w:r>
    </w:p>
    <w:p w14:paraId="568174ED" w14:textId="77777777" w:rsidR="00DB6E3A" w:rsidRPr="00952A27" w:rsidRDefault="00DB6E3A" w:rsidP="00952A27">
      <w:pPr>
        <w:spacing w:line="360" w:lineRule="auto"/>
        <w:jc w:val="both"/>
        <w:rPr>
          <w:rFonts w:ascii="Century Gothic" w:eastAsia="Century Gothic" w:hAnsi="Century Gothic"/>
          <w:sz w:val="24"/>
          <w:szCs w:val="24"/>
        </w:rPr>
      </w:pPr>
    </w:p>
    <w:p w14:paraId="3F6F9977"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lastRenderedPageBreak/>
        <w:t>Etape 3 : le confinement</w:t>
      </w:r>
    </w:p>
    <w:p w14:paraId="072FD8E2" w14:textId="50E09A33" w:rsidR="00DB6E3A" w:rsidRPr="00952A27" w:rsidRDefault="00DB6E3A" w:rsidP="00952A27">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L’objectif est de prendre les mesures d’urgence permettant de faire cesser la fuite de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données, par exemple en mettant en suspens le traitement de données incriminé. Une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étape particulièrement délicate puisqu’il s’agira souvent de faire des arbitrages entre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la volonté d’isoler, voire de couper, telle ou telle partie du système d’information, et</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le besoin de maintenir en l’état ce même système pour permettre les investigations</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futures. L’arrêt d’un serveur peut en effet avoir pour conséquence de détruire les</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données stockées en mémoire vive, tandis qu’une déconnexion du réseau diminuera</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les chances de remonter jusqu’à un éventuel attaquant.</w:t>
      </w:r>
    </w:p>
    <w:p w14:paraId="51A01437" w14:textId="77777777" w:rsidR="00DB6E3A" w:rsidRPr="00952A27" w:rsidRDefault="00DB6E3A" w:rsidP="00952A27">
      <w:pPr>
        <w:spacing w:line="360" w:lineRule="auto"/>
        <w:jc w:val="both"/>
        <w:rPr>
          <w:rFonts w:ascii="Century Gothic" w:eastAsia="Century Gothic" w:hAnsi="Century Gothic"/>
          <w:sz w:val="24"/>
          <w:szCs w:val="24"/>
        </w:rPr>
      </w:pPr>
    </w:p>
    <w:p w14:paraId="05347214"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Etape 4 : les investigations techniques.</w:t>
      </w:r>
    </w:p>
    <w:p w14:paraId="7F3A4D72" w14:textId="7FF1C8CE" w:rsidR="00DB6E3A" w:rsidRDefault="00DB6E3A" w:rsidP="00AA0115">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Cette étape est primordiale, tant d’un point de vue opérationnel afin de comprendre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les causes de la fuite de donnée et y remédier, qu’au plan juridique et assurantiel. Elle</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donne lieu à l’exploitation, par une équipe interne ou externe, de l’ensemble des logs</w:t>
      </w:r>
      <w:r w:rsidR="00952A27">
        <w:rPr>
          <w:rFonts w:ascii="Century Gothic" w:eastAsia="Century Gothic" w:hAnsi="Century Gothic"/>
          <w:sz w:val="24"/>
          <w:szCs w:val="24"/>
        </w:rPr>
        <w:t xml:space="preserve"> </w:t>
      </w:r>
      <w:r w:rsidRPr="00952A27">
        <w:rPr>
          <w:rFonts w:ascii="Century Gothic" w:eastAsia="Century Gothic" w:hAnsi="Century Gothic"/>
          <w:sz w:val="24"/>
          <w:szCs w:val="24"/>
        </w:rPr>
        <w:t xml:space="preserve">de connexion. </w:t>
      </w:r>
    </w:p>
    <w:p w14:paraId="77AABBA9" w14:textId="77777777" w:rsidR="00E80038" w:rsidRPr="00952A27" w:rsidRDefault="00E80038" w:rsidP="00952A27">
      <w:pPr>
        <w:spacing w:line="360" w:lineRule="auto"/>
        <w:jc w:val="both"/>
        <w:rPr>
          <w:rFonts w:ascii="Century Gothic" w:eastAsia="Century Gothic" w:hAnsi="Century Gothic"/>
          <w:sz w:val="24"/>
          <w:szCs w:val="24"/>
        </w:rPr>
      </w:pPr>
    </w:p>
    <w:p w14:paraId="7ABA1369"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 xml:space="preserve">Etape 5 : la notification aux autorités. </w:t>
      </w:r>
    </w:p>
    <w:p w14:paraId="2DAF25EE" w14:textId="4FC557C1" w:rsidR="00DB6E3A" w:rsidRPr="00952A27" w:rsidRDefault="00AA0115" w:rsidP="00AA0115">
      <w:pPr>
        <w:spacing w:line="360" w:lineRule="auto"/>
        <w:ind w:firstLine="708"/>
        <w:jc w:val="both"/>
        <w:rPr>
          <w:rFonts w:ascii="Century Gothic" w:eastAsia="Century Gothic" w:hAnsi="Century Gothic"/>
          <w:sz w:val="24"/>
          <w:szCs w:val="24"/>
        </w:rPr>
      </w:pPr>
      <w:r>
        <w:rPr>
          <w:rFonts w:ascii="Century Gothic" w:eastAsia="Century Gothic" w:hAnsi="Century Gothic"/>
          <w:sz w:val="24"/>
          <w:szCs w:val="24"/>
        </w:rPr>
        <w:t>L</w:t>
      </w:r>
      <w:r w:rsidR="00DB6E3A" w:rsidRPr="00952A27">
        <w:rPr>
          <w:rFonts w:ascii="Century Gothic" w:eastAsia="Century Gothic" w:hAnsi="Century Gothic"/>
          <w:sz w:val="24"/>
          <w:szCs w:val="24"/>
        </w:rPr>
        <w:t>a notification à la CNIL par le responsable de</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 xml:space="preserve">traitement, qui peut se faire en </w:t>
      </w:r>
      <w:r>
        <w:rPr>
          <w:rFonts w:ascii="Century Gothic" w:eastAsia="Century Gothic" w:hAnsi="Century Gothic"/>
          <w:sz w:val="24"/>
          <w:szCs w:val="24"/>
        </w:rPr>
        <w:t xml:space="preserve">quelque </w:t>
      </w:r>
      <w:proofErr w:type="gramStart"/>
      <w:r>
        <w:rPr>
          <w:rFonts w:ascii="Century Gothic" w:eastAsia="Century Gothic" w:hAnsi="Century Gothic"/>
          <w:sz w:val="24"/>
          <w:szCs w:val="24"/>
        </w:rPr>
        <w:t>lignes</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w:t>
      </w:r>
      <w:proofErr w:type="gramEnd"/>
      <w:r w:rsidR="00DB6E3A" w:rsidRPr="00952A27">
        <w:rPr>
          <w:rFonts w:ascii="Century Gothic" w:eastAsia="Century Gothic" w:hAnsi="Century Gothic"/>
          <w:sz w:val="24"/>
          <w:szCs w:val="24"/>
        </w:rPr>
        <w:t xml:space="preserve"> doit avoir lieu au plus tard dans les 72 heures</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après que l’organisation a eu connaissance de la fuite. La CNIL peut d’ailleurs avoir</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été prévenue simultanément par le lanceur d’alerte, ce qui renforce la nécessité de</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 xml:space="preserve">réagir rapidement. </w:t>
      </w:r>
      <w:r w:rsidR="004E6004">
        <w:rPr>
          <w:rFonts w:ascii="Century Gothic" w:eastAsia="Century Gothic" w:hAnsi="Century Gothic"/>
          <w:sz w:val="24"/>
          <w:szCs w:val="24"/>
        </w:rPr>
        <w:t>L</w:t>
      </w:r>
      <w:r w:rsidR="00DB6E3A" w:rsidRPr="00952A27">
        <w:rPr>
          <w:rFonts w:ascii="Century Gothic" w:eastAsia="Century Gothic" w:hAnsi="Century Gothic"/>
          <w:sz w:val="24"/>
          <w:szCs w:val="24"/>
        </w:rPr>
        <w:t>a notification</w:t>
      </w:r>
      <w:r w:rsidR="00952A27">
        <w:rPr>
          <w:rFonts w:ascii="Century Gothic" w:eastAsia="Century Gothic" w:hAnsi="Century Gothic"/>
          <w:sz w:val="24"/>
          <w:szCs w:val="24"/>
        </w:rPr>
        <w:t xml:space="preserve"> </w:t>
      </w:r>
      <w:r w:rsidR="00DB6E3A" w:rsidRPr="00952A27">
        <w:rPr>
          <w:rFonts w:ascii="Century Gothic" w:eastAsia="Century Gothic" w:hAnsi="Century Gothic"/>
          <w:sz w:val="24"/>
          <w:szCs w:val="24"/>
        </w:rPr>
        <w:t>devra être assurée en parallèle auprès de l’ANSSI.</w:t>
      </w:r>
    </w:p>
    <w:p w14:paraId="77B5162D" w14:textId="77777777" w:rsidR="00DB6E3A" w:rsidRPr="00952A27" w:rsidRDefault="00DB6E3A" w:rsidP="00952A27">
      <w:pPr>
        <w:spacing w:line="360" w:lineRule="auto"/>
        <w:jc w:val="both"/>
        <w:rPr>
          <w:rFonts w:ascii="Century Gothic" w:eastAsia="Century Gothic" w:hAnsi="Century Gothic"/>
          <w:sz w:val="24"/>
          <w:szCs w:val="24"/>
        </w:rPr>
      </w:pPr>
    </w:p>
    <w:p w14:paraId="7920ADDC"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lastRenderedPageBreak/>
        <w:t>Etape 6 : la notification aux clients.</w:t>
      </w:r>
    </w:p>
    <w:p w14:paraId="00E94E39" w14:textId="23F2D888" w:rsidR="00DB6E3A" w:rsidRPr="00952A27" w:rsidRDefault="00DB6E3A" w:rsidP="00AA0115">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Dès lors que la fuite entraine « un risque élevé pour les droits et libertés d’une personne</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 xml:space="preserve">physique » le responsable du traitement doit notifier </w:t>
      </w:r>
      <w:r w:rsidR="00AA0115">
        <w:rPr>
          <w:rFonts w:ascii="Century Gothic" w:eastAsia="Century Gothic" w:hAnsi="Century Gothic"/>
          <w:sz w:val="24"/>
          <w:szCs w:val="24"/>
        </w:rPr>
        <w:t xml:space="preserve">aux </w:t>
      </w:r>
      <w:r w:rsidRPr="00952A27">
        <w:rPr>
          <w:rFonts w:ascii="Century Gothic" w:eastAsia="Century Gothic" w:hAnsi="Century Gothic"/>
          <w:sz w:val="24"/>
          <w:szCs w:val="24"/>
        </w:rPr>
        <w:t>les clients</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concernés dans les meilleurs délais. A noter qu’il existe quelques dérogations,</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notamment dans le cas où les données fuitées ne sont pas exploitables, par exemple</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 xml:space="preserve">lorsqu’elles sont </w:t>
      </w:r>
      <w:r w:rsidR="004E6004" w:rsidRPr="00952A27">
        <w:rPr>
          <w:rFonts w:ascii="Century Gothic" w:eastAsia="Century Gothic" w:hAnsi="Century Gothic"/>
          <w:sz w:val="24"/>
          <w:szCs w:val="24"/>
        </w:rPr>
        <w:t>chiffrées</w:t>
      </w:r>
      <w:r w:rsidR="004E6004">
        <w:rPr>
          <w:rFonts w:ascii="Century Gothic" w:eastAsia="Century Gothic" w:hAnsi="Century Gothic"/>
          <w:sz w:val="24"/>
          <w:szCs w:val="24"/>
        </w:rPr>
        <w:t>.</w:t>
      </w:r>
    </w:p>
    <w:p w14:paraId="116A9D7A" w14:textId="77777777" w:rsidR="00DB6E3A" w:rsidRPr="00952A27" w:rsidRDefault="00DB6E3A" w:rsidP="00952A27">
      <w:pPr>
        <w:spacing w:line="360" w:lineRule="auto"/>
        <w:jc w:val="both"/>
        <w:rPr>
          <w:rFonts w:ascii="Century Gothic" w:eastAsia="Century Gothic" w:hAnsi="Century Gothic"/>
          <w:sz w:val="24"/>
          <w:szCs w:val="24"/>
        </w:rPr>
      </w:pPr>
    </w:p>
    <w:p w14:paraId="422810B6"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 xml:space="preserve">Etape 7 : la remédiation et la restauration. </w:t>
      </w:r>
    </w:p>
    <w:p w14:paraId="147871FB" w14:textId="3A26C5E0" w:rsidR="00DB6E3A" w:rsidRDefault="00DB6E3A" w:rsidP="004E6004">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Il est bien sûr préférable que cette étape ait lieu une fois les causes techniques de</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l’incident identifiées et analysées.</w:t>
      </w:r>
      <w:r w:rsidR="004E6004">
        <w:rPr>
          <w:rFonts w:ascii="Century Gothic" w:eastAsia="Century Gothic" w:hAnsi="Century Gothic"/>
          <w:sz w:val="24"/>
          <w:szCs w:val="24"/>
        </w:rPr>
        <w:t xml:space="preserve"> </w:t>
      </w:r>
    </w:p>
    <w:p w14:paraId="7C820640" w14:textId="77777777" w:rsidR="004E6004" w:rsidRPr="00952A27" w:rsidRDefault="004E6004" w:rsidP="00952A27">
      <w:pPr>
        <w:spacing w:line="360" w:lineRule="auto"/>
        <w:jc w:val="both"/>
        <w:rPr>
          <w:rFonts w:ascii="Century Gothic" w:eastAsia="Century Gothic" w:hAnsi="Century Gothic"/>
          <w:sz w:val="24"/>
          <w:szCs w:val="24"/>
        </w:rPr>
      </w:pPr>
    </w:p>
    <w:p w14:paraId="6BB95CFC"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rFonts w:ascii="Century Gothic" w:eastAsia="Century Gothic" w:hAnsi="Century Gothic"/>
          <w:b/>
          <w:bCs/>
          <w:sz w:val="28"/>
          <w:szCs w:val="28"/>
        </w:rPr>
        <w:t xml:space="preserve">Etape 8 : le retour d’expérience. </w:t>
      </w:r>
    </w:p>
    <w:p w14:paraId="3B36EFAF" w14:textId="0311F36F" w:rsidR="00DB6E3A" w:rsidRPr="00952A27" w:rsidRDefault="00DB6E3A" w:rsidP="004E6004">
      <w:pPr>
        <w:spacing w:line="360" w:lineRule="auto"/>
        <w:ind w:firstLine="708"/>
        <w:jc w:val="both"/>
        <w:rPr>
          <w:rFonts w:ascii="Century Gothic" w:eastAsia="Century Gothic" w:hAnsi="Century Gothic"/>
          <w:sz w:val="24"/>
          <w:szCs w:val="24"/>
        </w:rPr>
      </w:pPr>
      <w:r w:rsidRPr="00952A27">
        <w:rPr>
          <w:rFonts w:ascii="Century Gothic" w:eastAsia="Century Gothic" w:hAnsi="Century Gothic"/>
          <w:sz w:val="24"/>
          <w:szCs w:val="24"/>
        </w:rPr>
        <w:t>Toute crise doit donner lieu à un retour d’expérience (RETEX) permettant d’améliorer</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le dispositif. Ce RETEX concerne à la fois le renforcement des capacités de détection,</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par exemple par l’intégration de nouvelles règles techniques, la création d’un « set »</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de réponses à incident plus ou moins automatisées, et la recherche d’une meilleure</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application de la politique de sécurité des systèmes d’information, notamment en</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matière de mise à jour des serveurs critiques. Ce processus vise aussi à améliorer le</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fonctionnement d’ensemble du dispositif par l’optimisation des procédures et moyens</w:t>
      </w:r>
      <w:r w:rsidR="004E6004">
        <w:rPr>
          <w:rFonts w:ascii="Century Gothic" w:eastAsia="Century Gothic" w:hAnsi="Century Gothic"/>
          <w:sz w:val="24"/>
          <w:szCs w:val="24"/>
        </w:rPr>
        <w:t xml:space="preserve"> </w:t>
      </w:r>
      <w:r w:rsidRPr="00952A27">
        <w:rPr>
          <w:rFonts w:ascii="Century Gothic" w:eastAsia="Century Gothic" w:hAnsi="Century Gothic"/>
          <w:sz w:val="24"/>
          <w:szCs w:val="24"/>
        </w:rPr>
        <w:t>mis à disposition.</w:t>
      </w:r>
    </w:p>
    <w:p w14:paraId="315DB711" w14:textId="227BC4C5" w:rsidR="00DB6E3A" w:rsidRDefault="00DB6E3A" w:rsidP="00DB6E3A">
      <w:r>
        <w:t>.</w:t>
      </w:r>
    </w:p>
    <w:p w14:paraId="0138724B" w14:textId="7F16DCF6" w:rsidR="00DB6E3A" w:rsidRDefault="00DB6E3A" w:rsidP="00DB6E3A">
      <w:pPr>
        <w:jc w:val="center"/>
      </w:pPr>
      <w:r>
        <w:rPr>
          <w:noProof/>
        </w:rPr>
        <w:lastRenderedPageBreak/>
        <w:drawing>
          <wp:inline distT="0" distB="0" distL="0" distR="0" wp14:anchorId="05CD5C45" wp14:editId="6F0DCA4D">
            <wp:extent cx="5760720" cy="43891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389120"/>
                    </a:xfrm>
                    <a:prstGeom prst="rect">
                      <a:avLst/>
                    </a:prstGeom>
                  </pic:spPr>
                </pic:pic>
              </a:graphicData>
            </a:graphic>
          </wp:inline>
        </w:drawing>
      </w:r>
    </w:p>
    <w:p w14:paraId="318220A8" w14:textId="682B939D" w:rsidR="00DB6E3A" w:rsidRDefault="00DB6E3A" w:rsidP="00DB6E3A"/>
    <w:p w14:paraId="6ACACBEB" w14:textId="49B1031F" w:rsidR="00DB6E3A" w:rsidRDefault="00731426" w:rsidP="00DB6E3A">
      <w:pPr>
        <w:pStyle w:val="Titre1"/>
        <w:numPr>
          <w:ilvl w:val="0"/>
          <w:numId w:val="3"/>
        </w:numPr>
        <w:rPr>
          <w:rFonts w:eastAsia="Century Gothic"/>
        </w:rPr>
      </w:pPr>
      <w:bookmarkStart w:id="4" w:name="_Toc63194670"/>
      <w:r w:rsidRPr="00DB6E3A">
        <w:rPr>
          <w:rFonts w:eastAsia="Century Gothic"/>
        </w:rPr>
        <w:t>LES MOYENS</w:t>
      </w:r>
      <w:bookmarkEnd w:id="4"/>
      <w:r>
        <w:rPr>
          <w:rFonts w:eastAsia="Century Gothic"/>
        </w:rPr>
        <w:t xml:space="preserve"> MISE A DISPOSITION DE L’EQUIPE DE GESTION DE CRISE</w:t>
      </w:r>
    </w:p>
    <w:p w14:paraId="0907B823" w14:textId="77777777" w:rsidR="00952A27" w:rsidRDefault="00952A27" w:rsidP="00952A27"/>
    <w:p w14:paraId="2DA8BD40" w14:textId="0BF38A1F" w:rsidR="00952A27" w:rsidRPr="004E6004" w:rsidRDefault="00952A27" w:rsidP="004E6004">
      <w:pPr>
        <w:spacing w:line="360" w:lineRule="auto"/>
        <w:ind w:firstLine="708"/>
        <w:jc w:val="both"/>
        <w:rPr>
          <w:rFonts w:ascii="Century Gothic" w:eastAsia="Century Gothic" w:hAnsi="Century Gothic"/>
          <w:sz w:val="24"/>
          <w:szCs w:val="24"/>
        </w:rPr>
      </w:pPr>
      <w:r w:rsidRPr="004E6004">
        <w:rPr>
          <w:rFonts w:ascii="Century Gothic" w:eastAsia="Century Gothic" w:hAnsi="Century Gothic"/>
          <w:sz w:val="24"/>
          <w:szCs w:val="24"/>
        </w:rPr>
        <w:t xml:space="preserve">La compression du temps en situation de crise exige la mobilisation rapide d’une boîte à </w:t>
      </w:r>
      <w:r w:rsidR="00731426" w:rsidRPr="004E6004">
        <w:rPr>
          <w:rFonts w:ascii="Century Gothic" w:eastAsia="Century Gothic" w:hAnsi="Century Gothic"/>
          <w:sz w:val="24"/>
          <w:szCs w:val="24"/>
        </w:rPr>
        <w:t xml:space="preserve">outils </w:t>
      </w:r>
      <w:r w:rsidR="00731426">
        <w:rPr>
          <w:rFonts w:ascii="Century Gothic" w:eastAsia="Century Gothic" w:hAnsi="Century Gothic"/>
          <w:sz w:val="24"/>
          <w:szCs w:val="24"/>
        </w:rPr>
        <w:t xml:space="preserve">testée </w:t>
      </w:r>
      <w:r w:rsidRPr="004E6004">
        <w:rPr>
          <w:rFonts w:ascii="Century Gothic" w:eastAsia="Century Gothic" w:hAnsi="Century Gothic"/>
          <w:sz w:val="24"/>
          <w:szCs w:val="24"/>
        </w:rPr>
        <w:t xml:space="preserve">au préalable. Elle est composée : </w:t>
      </w:r>
    </w:p>
    <w:p w14:paraId="1A06E712" w14:textId="04807695" w:rsidR="004E6004" w:rsidRDefault="00952A27" w:rsidP="004E6004">
      <w:pPr>
        <w:pStyle w:val="Paragraphedeliste"/>
        <w:numPr>
          <w:ilvl w:val="0"/>
          <w:numId w:val="8"/>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D’outils de partage d’information et de communication</w:t>
      </w:r>
      <w:r w:rsidR="00731426">
        <w:rPr>
          <w:rFonts w:ascii="Century Gothic" w:eastAsia="Century Gothic" w:hAnsi="Century Gothic"/>
          <w:sz w:val="24"/>
          <w:szCs w:val="24"/>
        </w:rPr>
        <w:t xml:space="preserve"> </w:t>
      </w:r>
      <w:r w:rsidRPr="004E6004">
        <w:rPr>
          <w:rFonts w:ascii="Century Gothic" w:eastAsia="Century Gothic" w:hAnsi="Century Gothic"/>
          <w:sz w:val="24"/>
          <w:szCs w:val="24"/>
        </w:rPr>
        <w:t>: mise en place d’un espace documentaire</w:t>
      </w:r>
      <w:r w:rsidR="00731426">
        <w:rPr>
          <w:rFonts w:ascii="Century Gothic" w:eastAsia="Century Gothic" w:hAnsi="Century Gothic"/>
          <w:sz w:val="24"/>
          <w:szCs w:val="24"/>
        </w:rPr>
        <w:t xml:space="preserve">, </w:t>
      </w:r>
      <w:r w:rsidRPr="004E6004">
        <w:rPr>
          <w:rFonts w:ascii="Century Gothic" w:eastAsia="Century Gothic" w:hAnsi="Century Gothic"/>
          <w:sz w:val="24"/>
          <w:szCs w:val="24"/>
        </w:rPr>
        <w:t xml:space="preserve">d’une messagerie instantanée. </w:t>
      </w:r>
    </w:p>
    <w:p w14:paraId="38DE170B" w14:textId="79966B56" w:rsidR="004E6004" w:rsidRDefault="00952A27" w:rsidP="004E6004">
      <w:pPr>
        <w:pStyle w:val="Paragraphedeliste"/>
        <w:numPr>
          <w:ilvl w:val="0"/>
          <w:numId w:val="8"/>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De moyens physiques</w:t>
      </w:r>
      <w:r w:rsidR="00731426">
        <w:rPr>
          <w:rFonts w:ascii="Century Gothic" w:eastAsia="Century Gothic" w:hAnsi="Century Gothic"/>
          <w:sz w:val="24"/>
          <w:szCs w:val="24"/>
        </w:rPr>
        <w:t> :</w:t>
      </w:r>
      <w:r w:rsidRPr="004E6004">
        <w:rPr>
          <w:rFonts w:ascii="Century Gothic" w:eastAsia="Century Gothic" w:hAnsi="Century Gothic"/>
          <w:sz w:val="24"/>
          <w:szCs w:val="24"/>
        </w:rPr>
        <w:t xml:space="preserve"> Une ou plusieurs salles de réunion </w:t>
      </w:r>
      <w:r w:rsidR="00731426">
        <w:rPr>
          <w:rFonts w:ascii="Century Gothic" w:eastAsia="Century Gothic" w:hAnsi="Century Gothic"/>
          <w:sz w:val="24"/>
          <w:szCs w:val="24"/>
        </w:rPr>
        <w:t xml:space="preserve">est </w:t>
      </w:r>
      <w:r w:rsidR="00731426" w:rsidRPr="004E6004">
        <w:rPr>
          <w:rFonts w:ascii="Century Gothic" w:eastAsia="Century Gothic" w:hAnsi="Century Gothic"/>
          <w:sz w:val="24"/>
          <w:szCs w:val="24"/>
        </w:rPr>
        <w:t>mis</w:t>
      </w:r>
      <w:r w:rsidRPr="004E6004">
        <w:rPr>
          <w:rFonts w:ascii="Century Gothic" w:eastAsia="Century Gothic" w:hAnsi="Century Gothic"/>
          <w:sz w:val="24"/>
          <w:szCs w:val="24"/>
        </w:rPr>
        <w:t xml:space="preserve"> à disposition du dispositif de crise avec l’ensemble des capacités nécessaires (connectivité, projection…).</w:t>
      </w:r>
    </w:p>
    <w:p w14:paraId="64990D2C" w14:textId="5DAF29E4" w:rsidR="004E6004" w:rsidRDefault="00952A27" w:rsidP="004E6004">
      <w:pPr>
        <w:pStyle w:val="Paragraphedeliste"/>
        <w:numPr>
          <w:ilvl w:val="0"/>
          <w:numId w:val="8"/>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De capacités de veille informationnelle</w:t>
      </w:r>
      <w:r w:rsidR="00731426">
        <w:rPr>
          <w:rFonts w:ascii="Century Gothic" w:eastAsia="Century Gothic" w:hAnsi="Century Gothic"/>
          <w:sz w:val="24"/>
          <w:szCs w:val="24"/>
        </w:rPr>
        <w:t> :</w:t>
      </w:r>
      <w:r w:rsidRPr="004E6004">
        <w:rPr>
          <w:rFonts w:ascii="Century Gothic" w:eastAsia="Century Gothic" w:hAnsi="Century Gothic"/>
          <w:sz w:val="24"/>
          <w:szCs w:val="24"/>
        </w:rPr>
        <w:t xml:space="preserve"> Indépendamment des capacités de surveillance et de détection utilisées en amont </w:t>
      </w:r>
      <w:r w:rsidR="00731426" w:rsidRPr="004E6004">
        <w:rPr>
          <w:rFonts w:ascii="Century Gothic" w:eastAsia="Century Gothic" w:hAnsi="Century Gothic"/>
          <w:sz w:val="24"/>
          <w:szCs w:val="24"/>
        </w:rPr>
        <w:t>pour</w:t>
      </w:r>
      <w:r w:rsidR="00731426">
        <w:rPr>
          <w:rFonts w:ascii="Century Gothic" w:eastAsia="Century Gothic" w:hAnsi="Century Gothic"/>
          <w:sz w:val="24"/>
          <w:szCs w:val="24"/>
        </w:rPr>
        <w:t xml:space="preserve"> </w:t>
      </w:r>
      <w:r w:rsidR="00731426" w:rsidRPr="004E6004">
        <w:rPr>
          <w:rFonts w:ascii="Century Gothic" w:eastAsia="Century Gothic" w:hAnsi="Century Gothic"/>
          <w:sz w:val="24"/>
          <w:szCs w:val="24"/>
        </w:rPr>
        <w:lastRenderedPageBreak/>
        <w:t>détecter</w:t>
      </w:r>
      <w:r w:rsidRPr="004E6004">
        <w:rPr>
          <w:rFonts w:ascii="Century Gothic" w:eastAsia="Century Gothic" w:hAnsi="Century Gothic"/>
          <w:sz w:val="24"/>
          <w:szCs w:val="24"/>
        </w:rPr>
        <w:t xml:space="preserve"> au plus tôt la survenance d’une fuite de données, une veille spécifique, en temps réel, </w:t>
      </w:r>
      <w:r w:rsidR="00731426">
        <w:rPr>
          <w:rFonts w:ascii="Century Gothic" w:eastAsia="Century Gothic" w:hAnsi="Century Gothic"/>
          <w:sz w:val="24"/>
          <w:szCs w:val="24"/>
        </w:rPr>
        <w:t>est</w:t>
      </w:r>
      <w:r w:rsidRPr="004E6004">
        <w:rPr>
          <w:rFonts w:ascii="Century Gothic" w:eastAsia="Century Gothic" w:hAnsi="Century Gothic"/>
          <w:sz w:val="24"/>
          <w:szCs w:val="24"/>
        </w:rPr>
        <w:t xml:space="preserve"> menée, en particulier sur les réseaux sociaux, pour suivre les retombées de la crise et alimenter la tenue de « situation opérationnelle ».</w:t>
      </w:r>
    </w:p>
    <w:p w14:paraId="508EE365" w14:textId="3E6C0736" w:rsidR="004E6004" w:rsidRDefault="00952A27" w:rsidP="004E6004">
      <w:pPr>
        <w:pStyle w:val="Paragraphedeliste"/>
        <w:numPr>
          <w:ilvl w:val="0"/>
          <w:numId w:val="8"/>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D’outils méthodologiques</w:t>
      </w:r>
      <w:r w:rsidR="00731426">
        <w:rPr>
          <w:rFonts w:ascii="Century Gothic" w:eastAsia="Century Gothic" w:hAnsi="Century Gothic"/>
          <w:sz w:val="24"/>
          <w:szCs w:val="24"/>
        </w:rPr>
        <w:t> :</w:t>
      </w:r>
      <w:r w:rsidRPr="004E6004">
        <w:rPr>
          <w:rFonts w:ascii="Century Gothic" w:eastAsia="Century Gothic" w:hAnsi="Century Gothic"/>
          <w:sz w:val="24"/>
          <w:szCs w:val="24"/>
        </w:rPr>
        <w:t xml:space="preserve"> Outre le manuel de gestion de crise et l’ensemble des plans d’urgence (PCA/PRA, etc.), il s’agi</w:t>
      </w:r>
      <w:r w:rsidR="00731426">
        <w:rPr>
          <w:rFonts w:ascii="Century Gothic" w:eastAsia="Century Gothic" w:hAnsi="Century Gothic"/>
          <w:sz w:val="24"/>
          <w:szCs w:val="24"/>
        </w:rPr>
        <w:t>t</w:t>
      </w:r>
      <w:r w:rsidRPr="004E6004">
        <w:rPr>
          <w:rFonts w:ascii="Century Gothic" w:eastAsia="Century Gothic" w:hAnsi="Century Gothic"/>
          <w:sz w:val="24"/>
          <w:szCs w:val="24"/>
        </w:rPr>
        <w:t xml:space="preserve"> aussi de disposer de quelques outils génériques : annuaire de crise interne et externe, listes de diffusion interne et externe</w:t>
      </w:r>
      <w:r w:rsidR="00731426">
        <w:rPr>
          <w:rFonts w:ascii="Century Gothic" w:eastAsia="Century Gothic" w:hAnsi="Century Gothic"/>
          <w:sz w:val="24"/>
          <w:szCs w:val="24"/>
        </w:rPr>
        <w:t>.</w:t>
      </w:r>
    </w:p>
    <w:p w14:paraId="4CD42669" w14:textId="5D45602F" w:rsidR="00952A27" w:rsidRDefault="00952A27" w:rsidP="00952A27">
      <w:pPr>
        <w:pStyle w:val="Paragraphedeliste"/>
        <w:numPr>
          <w:ilvl w:val="0"/>
          <w:numId w:val="8"/>
        </w:numPr>
        <w:spacing w:line="360" w:lineRule="auto"/>
        <w:jc w:val="both"/>
      </w:pPr>
      <w:r w:rsidRPr="005F720E">
        <w:rPr>
          <w:rFonts w:ascii="Century Gothic" w:eastAsia="Century Gothic" w:hAnsi="Century Gothic"/>
          <w:sz w:val="24"/>
          <w:szCs w:val="24"/>
        </w:rPr>
        <w:t xml:space="preserve">D’assurances spécifiques. Si les assurances traditionnelles couvrent les dommages matériels sur les réseaux et systèmes d’information, les polices d’assurance spécifiquement « cyber » permettent d’assurer les conséquences liées aux atteintes aux données. </w:t>
      </w:r>
    </w:p>
    <w:p w14:paraId="7E7DD5C9" w14:textId="79247C4E" w:rsidR="00952A27" w:rsidRDefault="00952A27" w:rsidP="00952A27">
      <w:pPr>
        <w:jc w:val="center"/>
        <w:rPr>
          <w:rFonts w:asciiTheme="majorHAnsi" w:eastAsia="Century Gothic" w:hAnsiTheme="majorHAnsi" w:cstheme="majorBidi"/>
          <w:color w:val="365F91" w:themeColor="accent1" w:themeShade="BF"/>
          <w:sz w:val="32"/>
          <w:szCs w:val="32"/>
        </w:rPr>
      </w:pPr>
      <w:r>
        <w:rPr>
          <w:noProof/>
        </w:rPr>
        <w:drawing>
          <wp:inline distT="0" distB="0" distL="0" distR="0" wp14:anchorId="744D6C6A" wp14:editId="663FBBB4">
            <wp:extent cx="5438244" cy="40157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2082" cy="4018574"/>
                    </a:xfrm>
                    <a:prstGeom prst="rect">
                      <a:avLst/>
                    </a:prstGeom>
                  </pic:spPr>
                </pic:pic>
              </a:graphicData>
            </a:graphic>
          </wp:inline>
        </w:drawing>
      </w:r>
    </w:p>
    <w:p w14:paraId="22E5D08C" w14:textId="77777777" w:rsidR="00952A27" w:rsidRDefault="00952A27" w:rsidP="00952A27">
      <w:pPr>
        <w:jc w:val="center"/>
        <w:rPr>
          <w:rFonts w:asciiTheme="majorHAnsi" w:eastAsia="Century Gothic" w:hAnsiTheme="majorHAnsi" w:cstheme="majorBidi"/>
          <w:color w:val="365F91" w:themeColor="accent1" w:themeShade="BF"/>
          <w:sz w:val="32"/>
          <w:szCs w:val="32"/>
        </w:rPr>
      </w:pPr>
    </w:p>
    <w:p w14:paraId="6644C1EB" w14:textId="101AE4DC" w:rsidR="00952A27" w:rsidRDefault="00952A27" w:rsidP="00952A27">
      <w:pPr>
        <w:pStyle w:val="Titre1"/>
        <w:numPr>
          <w:ilvl w:val="0"/>
          <w:numId w:val="3"/>
        </w:numPr>
        <w:rPr>
          <w:rFonts w:eastAsia="Century Gothic"/>
        </w:rPr>
      </w:pPr>
      <w:bookmarkStart w:id="5" w:name="_Toc63194671"/>
      <w:r w:rsidRPr="00952A27">
        <w:rPr>
          <w:rFonts w:eastAsia="Century Gothic"/>
        </w:rPr>
        <w:lastRenderedPageBreak/>
        <w:t xml:space="preserve">Nos </w:t>
      </w:r>
      <w:r w:rsidR="004E6004">
        <w:rPr>
          <w:rFonts w:eastAsia="Century Gothic"/>
        </w:rPr>
        <w:t>principes de</w:t>
      </w:r>
      <w:r w:rsidRPr="00952A27">
        <w:rPr>
          <w:rFonts w:eastAsia="Century Gothic"/>
        </w:rPr>
        <w:t xml:space="preserve"> communication </w:t>
      </w:r>
      <w:r w:rsidR="004E6004">
        <w:rPr>
          <w:rFonts w:eastAsia="Century Gothic"/>
        </w:rPr>
        <w:t xml:space="preserve">en période </w:t>
      </w:r>
      <w:r w:rsidRPr="00952A27">
        <w:rPr>
          <w:rFonts w:eastAsia="Century Gothic"/>
        </w:rPr>
        <w:t>de crise</w:t>
      </w:r>
      <w:bookmarkEnd w:id="5"/>
    </w:p>
    <w:p w14:paraId="449E0CF3" w14:textId="63AF0E0E"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Préparer des éléments de langage factuels sur le dispositif de cybersécurité et de protection des données personnelles et sur les valeurs de l’entreprise. Faute d’éléments précis sur les causes techniques de la fuite de données lors des premiers jours suivant le déclenchement de la crise, son périmètre ou les victimes potentielles</w:t>
      </w:r>
      <w:r w:rsidR="00444A63">
        <w:rPr>
          <w:rFonts w:ascii="Century Gothic" w:eastAsia="Century Gothic" w:hAnsi="Century Gothic"/>
          <w:sz w:val="24"/>
          <w:szCs w:val="24"/>
        </w:rPr>
        <w:t>.</w:t>
      </w:r>
      <w:r w:rsidRPr="004E6004">
        <w:rPr>
          <w:rFonts w:ascii="Century Gothic" w:eastAsia="Century Gothic" w:hAnsi="Century Gothic"/>
          <w:sz w:val="24"/>
          <w:szCs w:val="24"/>
        </w:rPr>
        <w:t xml:space="preserve"> </w:t>
      </w:r>
    </w:p>
    <w:p w14:paraId="6380C516"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Désigner un porte-parole au sein de l’organisation. Ce porte-parole pourra être assisté d’un expert SI ou cybersécurité qui utilisera des canaux de communication plus techniques (réseaux sociaux notamment). </w:t>
      </w:r>
    </w:p>
    <w:p w14:paraId="0341192F"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Prendre l’initiative et communiquer régulièrement tout au long de la crise sans attendre systématiquement que l’information ne parvienne à la presse et ne conduise l’organisation à agir sur un mode exclusivement réactif. </w:t>
      </w:r>
    </w:p>
    <w:p w14:paraId="3C76A4EA" w14:textId="4DBB22DA"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S’appuyer sur une parfaite identification des parties prenantes (clients, fournisseurs, autorités, associations, médias, élus…) afin de préparer des messages ciblés et d’identifier les canaux de communication les plus appropriés. </w:t>
      </w:r>
    </w:p>
    <w:p w14:paraId="3442E9D2"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Être transparent. Toute information ne doit pas être nécessairement communiquée mais celle qui est diffusée doit être authentique et vérifiable. </w:t>
      </w:r>
    </w:p>
    <w:p w14:paraId="175F4B43"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Éviter le rétropédalage en donnant des informations non vérifiées. Rien n’est pire que de revenir sur ses propres déclarations pour « rectifier le tir », par exemple sur le nombre de victimes potentielles. </w:t>
      </w:r>
    </w:p>
    <w:p w14:paraId="53C828D1" w14:textId="1F34D106"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Rester simple dans ses explications en s’appuyant sur des exemples et des cas concrets. </w:t>
      </w:r>
    </w:p>
    <w:p w14:paraId="6FB85781" w14:textId="6648F662"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Ne pas chercher à se défausser ou à rejeter sa responsabilité sur un tiers. Cette attribution est non seulement techniquement délicate, voire impossible, mais stratégiquement maladroite. La mise en cause </w:t>
      </w:r>
      <w:r w:rsidRPr="004E6004">
        <w:rPr>
          <w:rFonts w:ascii="Century Gothic" w:eastAsia="Century Gothic" w:hAnsi="Century Gothic"/>
          <w:sz w:val="24"/>
          <w:szCs w:val="24"/>
        </w:rPr>
        <w:lastRenderedPageBreak/>
        <w:t>publique d’un sous-traitant devra ainsi être évitée</w:t>
      </w:r>
      <w:r w:rsidR="00444A63">
        <w:rPr>
          <w:rFonts w:ascii="Century Gothic" w:eastAsia="Century Gothic" w:hAnsi="Century Gothic"/>
          <w:sz w:val="24"/>
          <w:szCs w:val="24"/>
        </w:rPr>
        <w:t>.</w:t>
      </w:r>
    </w:p>
    <w:p w14:paraId="2E29EF78"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Établir un canal de communication direct avec ses clients (numéro vert, forum…). La communication ne peut pas être unidirectionnelle. </w:t>
      </w:r>
    </w:p>
    <w:p w14:paraId="53D92CA4" w14:textId="653B4744" w:rsidR="00952A27" w:rsidRP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rFonts w:ascii="Century Gothic" w:eastAsia="Century Gothic" w:hAnsi="Century Gothic"/>
          <w:sz w:val="24"/>
          <w:szCs w:val="24"/>
        </w:rPr>
        <w:t xml:space="preserve"> Gérer en parallèle la communication interne et impliquer l’ensemble des salariés lors de la sortie de crise pour faire de celle-ci un élément de mobilisation et éviter la frustration, assez fréquente, des salariés qui apprennent par l’extérieur une information concernant leur propre organisation.</w:t>
      </w:r>
    </w:p>
    <w:sectPr w:rsidR="00952A27" w:rsidRPr="004E6004" w:rsidSect="00F04AC9">
      <w:headerReference w:type="default" r:id="rId11"/>
      <w:footerReference w:type="default" r:id="rId12"/>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AA224" w14:textId="77777777" w:rsidR="00D15702" w:rsidRDefault="00D15702" w:rsidP="00F42228">
      <w:pPr>
        <w:spacing w:after="0" w:line="240" w:lineRule="auto"/>
      </w:pPr>
      <w:r>
        <w:separator/>
      </w:r>
    </w:p>
  </w:endnote>
  <w:endnote w:type="continuationSeparator" w:id="0">
    <w:p w14:paraId="68163B5A" w14:textId="77777777" w:rsidR="00D15702" w:rsidRDefault="00D15702"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3B571" w14:textId="77777777" w:rsidR="00D15702" w:rsidRDefault="00D15702" w:rsidP="00F42228">
      <w:pPr>
        <w:spacing w:after="0" w:line="240" w:lineRule="auto"/>
      </w:pPr>
      <w:r>
        <w:separator/>
      </w:r>
    </w:p>
  </w:footnote>
  <w:footnote w:type="continuationSeparator" w:id="0">
    <w:p w14:paraId="3915B40D" w14:textId="77777777" w:rsidR="00D15702" w:rsidRDefault="00D15702"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04AB9"/>
    <w:multiLevelType w:val="hybridMultilevel"/>
    <w:tmpl w:val="5F465A7C"/>
    <w:lvl w:ilvl="0" w:tplc="BF00FB96">
      <w:start w:val="1"/>
      <w:numFmt w:val="upperRoman"/>
      <w:lvlText w:val="%1."/>
      <w:lvlJc w:val="left"/>
      <w:pPr>
        <w:ind w:left="1440" w:hanging="720"/>
      </w:pPr>
      <w:rPr>
        <w:rFonts w:cstheme="majorBid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9E46A81"/>
    <w:multiLevelType w:val="hybridMultilevel"/>
    <w:tmpl w:val="28F46D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246901"/>
    <w:multiLevelType w:val="hybridMultilevel"/>
    <w:tmpl w:val="3F62EFE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4F7E6D"/>
    <w:multiLevelType w:val="hybridMultilevel"/>
    <w:tmpl w:val="82B60EBA"/>
    <w:lvl w:ilvl="0" w:tplc="31A636B4">
      <w:start w:val="1"/>
      <w:numFmt w:val="upperRoman"/>
      <w:lvlText w:val="%1."/>
      <w:lvlJc w:val="left"/>
      <w:pPr>
        <w:ind w:left="2160" w:hanging="720"/>
      </w:pPr>
      <w:rPr>
        <w:rFonts w:cstheme="majorBidi"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63062BBF"/>
    <w:multiLevelType w:val="hybridMultilevel"/>
    <w:tmpl w:val="E7AA21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A55582"/>
    <w:multiLevelType w:val="hybridMultilevel"/>
    <w:tmpl w:val="4DC4ACA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9C56CCE"/>
    <w:multiLevelType w:val="hybridMultilevel"/>
    <w:tmpl w:val="B2808854"/>
    <w:lvl w:ilvl="0" w:tplc="12DE3070">
      <w:start w:val="2"/>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6F046E"/>
    <w:multiLevelType w:val="hybridMultilevel"/>
    <w:tmpl w:val="90D6D4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6A671F"/>
    <w:multiLevelType w:val="hybridMultilevel"/>
    <w:tmpl w:val="A94EC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7"/>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076C"/>
    <w:rsid w:val="00085F8E"/>
    <w:rsid w:val="00226153"/>
    <w:rsid w:val="00444A63"/>
    <w:rsid w:val="004E6004"/>
    <w:rsid w:val="005B381E"/>
    <w:rsid w:val="005B7B85"/>
    <w:rsid w:val="005D22B3"/>
    <w:rsid w:val="005D34F9"/>
    <w:rsid w:val="005E2CD1"/>
    <w:rsid w:val="005F720E"/>
    <w:rsid w:val="0069442C"/>
    <w:rsid w:val="006A4CC8"/>
    <w:rsid w:val="006C3CBD"/>
    <w:rsid w:val="00731426"/>
    <w:rsid w:val="008505AC"/>
    <w:rsid w:val="00952A27"/>
    <w:rsid w:val="009678B2"/>
    <w:rsid w:val="00A46FE5"/>
    <w:rsid w:val="00A61C3F"/>
    <w:rsid w:val="00AA0115"/>
    <w:rsid w:val="00AB06F4"/>
    <w:rsid w:val="00AC0417"/>
    <w:rsid w:val="00C01743"/>
    <w:rsid w:val="00C22059"/>
    <w:rsid w:val="00C45BCB"/>
    <w:rsid w:val="00C53DB8"/>
    <w:rsid w:val="00C92F03"/>
    <w:rsid w:val="00D15702"/>
    <w:rsid w:val="00D854B8"/>
    <w:rsid w:val="00DB6E3A"/>
    <w:rsid w:val="00DE6B7F"/>
    <w:rsid w:val="00E80038"/>
    <w:rsid w:val="00ED2E62"/>
    <w:rsid w:val="00F04AC9"/>
    <w:rsid w:val="00F42228"/>
    <w:rsid w:val="00F65139"/>
    <w:rsid w:val="00FB3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0807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Normal1">
    <w:name w:val="Normal1"/>
    <w:rsid w:val="00C53DB8"/>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character" w:customStyle="1" w:styleId="Titre1Car">
    <w:name w:val="Titre 1 Car"/>
    <w:basedOn w:val="Policepardfaut"/>
    <w:link w:val="Titre1"/>
    <w:uiPriority w:val="9"/>
    <w:rsid w:val="0008076C"/>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AB06F4"/>
    <w:pPr>
      <w:ind w:left="720"/>
      <w:contextualSpacing/>
    </w:pPr>
  </w:style>
  <w:style w:type="paragraph" w:styleId="En-ttedetabledesmatires">
    <w:name w:val="TOC Heading"/>
    <w:basedOn w:val="Titre1"/>
    <w:next w:val="Normal"/>
    <w:uiPriority w:val="39"/>
    <w:unhideWhenUsed/>
    <w:qFormat/>
    <w:rsid w:val="005E2CD1"/>
    <w:pPr>
      <w:spacing w:line="259" w:lineRule="auto"/>
      <w:outlineLvl w:val="9"/>
    </w:pPr>
    <w:rPr>
      <w:lang w:eastAsia="fr-FR"/>
    </w:rPr>
  </w:style>
  <w:style w:type="paragraph" w:styleId="TM1">
    <w:name w:val="toc 1"/>
    <w:basedOn w:val="Normal"/>
    <w:next w:val="Normal"/>
    <w:autoRedefine/>
    <w:uiPriority w:val="39"/>
    <w:unhideWhenUsed/>
    <w:rsid w:val="005E2CD1"/>
    <w:pPr>
      <w:spacing w:after="100"/>
    </w:pPr>
  </w:style>
  <w:style w:type="character" w:styleId="Lienhypertexte">
    <w:name w:val="Hyperlink"/>
    <w:basedOn w:val="Policepardfaut"/>
    <w:uiPriority w:val="99"/>
    <w:unhideWhenUsed/>
    <w:rsid w:val="005E2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B4EB-DF61-4758-8401-310ADD7C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1886</Words>
  <Characters>10373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21</cp:revision>
  <cp:lastPrinted>2021-02-03T04:47:00Z</cp:lastPrinted>
  <dcterms:created xsi:type="dcterms:W3CDTF">2021-02-02T19:42:00Z</dcterms:created>
  <dcterms:modified xsi:type="dcterms:W3CDTF">2021-02-03T04:50:00Z</dcterms:modified>
</cp:coreProperties>
</file>