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0BCE4" w14:textId="77777777" w:rsidR="00AA3863" w:rsidRPr="00D83C48" w:rsidRDefault="00AA3863" w:rsidP="00107042"/>
    <w:p w14:paraId="102B3D57" w14:textId="77777777" w:rsidR="00AA3863" w:rsidRPr="00D83C48" w:rsidRDefault="00AA3863" w:rsidP="00107042"/>
    <w:p w14:paraId="65DCE328" w14:textId="77777777" w:rsidR="00AA3863" w:rsidRPr="00D83C48" w:rsidRDefault="00AA3863" w:rsidP="00107042"/>
    <w:p w14:paraId="66036A58" w14:textId="77777777" w:rsidR="00AA3863" w:rsidRPr="00D83C48" w:rsidRDefault="00AA3863" w:rsidP="00107042"/>
    <w:p w14:paraId="4A5972EB" w14:textId="77777777" w:rsidR="00AA3863" w:rsidRPr="009718F8" w:rsidRDefault="00AA3863" w:rsidP="00214C3B">
      <w:pPr>
        <w:pStyle w:val="Title"/>
        <w:spacing w:line="360" w:lineRule="auto"/>
        <w:jc w:val="center"/>
        <w:rPr>
          <w:rFonts w:ascii="Century Gothic" w:hAnsi="Century Gothic" w:cstheme="minorHAnsi"/>
          <w:lang w:val="en-ZA"/>
        </w:rPr>
      </w:pPr>
      <w:r w:rsidRPr="009718F8">
        <w:rPr>
          <w:rFonts w:ascii="Century Gothic" w:hAnsi="Century Gothic" w:cstheme="minorHAnsi"/>
          <w:lang w:val="en-ZA"/>
        </w:rPr>
        <w:t>Third-Party Policy</w:t>
      </w:r>
      <w:bookmarkStart w:id="0" w:name="_5u1skrwby9s2" w:colFirst="0" w:colLast="0"/>
      <w:bookmarkEnd w:id="0"/>
    </w:p>
    <w:p w14:paraId="649A839A" w14:textId="77777777" w:rsidR="00AA3863" w:rsidRPr="00D83C48" w:rsidRDefault="00AA3863" w:rsidP="00AA3863">
      <w:pPr>
        <w:pStyle w:val="Normal1"/>
        <w:rPr>
          <w:rFonts w:ascii="Century Gothic" w:hAnsi="Century Gothic"/>
          <w:sz w:val="24"/>
          <w:szCs w:val="24"/>
        </w:rPr>
      </w:pPr>
    </w:p>
    <w:p w14:paraId="16B789CF" w14:textId="77777777" w:rsidR="00AA3863" w:rsidRPr="00D83C48" w:rsidRDefault="00AA3863" w:rsidP="00AA3863">
      <w:pPr>
        <w:pStyle w:val="Normal1"/>
        <w:rPr>
          <w:rFonts w:ascii="Century Gothic" w:hAnsi="Century Gothic"/>
          <w:sz w:val="24"/>
          <w:szCs w:val="24"/>
        </w:rPr>
      </w:pPr>
    </w:p>
    <w:p w14:paraId="1A2E7C07" w14:textId="77777777" w:rsidR="00AA3863" w:rsidRPr="00D83C48" w:rsidRDefault="00AA3863" w:rsidP="00AA3863">
      <w:pPr>
        <w:pStyle w:val="Normal1"/>
        <w:spacing w:after="0"/>
        <w:rPr>
          <w:rFonts w:ascii="Century Gothic" w:hAnsi="Century Gothic" w:cstheme="minorHAnsi"/>
          <w:color w:val="999999"/>
          <w:sz w:val="24"/>
          <w:szCs w:val="24"/>
        </w:rPr>
      </w:pPr>
    </w:p>
    <w:p w14:paraId="0458EA5E" w14:textId="77777777" w:rsidR="00AA3863" w:rsidRPr="00D83C48" w:rsidRDefault="00AA3863" w:rsidP="00AA3863">
      <w:pPr>
        <w:pStyle w:val="Normal1"/>
        <w:spacing w:after="0"/>
        <w:rPr>
          <w:rFonts w:ascii="Century Gothic" w:hAnsi="Century Gothic" w:cstheme="minorHAnsi"/>
          <w:color w:val="999999"/>
          <w:sz w:val="24"/>
          <w:szCs w:val="24"/>
        </w:rPr>
      </w:pPr>
    </w:p>
    <w:p w14:paraId="6223D91C" w14:textId="77777777" w:rsidR="00AA3863" w:rsidRPr="00D83C48" w:rsidRDefault="00AA3863" w:rsidP="00AA3863">
      <w:pPr>
        <w:pStyle w:val="Normal1"/>
        <w:spacing w:after="0"/>
        <w:rPr>
          <w:rFonts w:ascii="Century Gothic" w:hAnsi="Century Gothic" w:cstheme="minorHAnsi"/>
          <w:color w:val="999999"/>
          <w:sz w:val="24"/>
          <w:szCs w:val="24"/>
        </w:rPr>
      </w:pPr>
      <w:r w:rsidRPr="00D83C48">
        <w:rPr>
          <w:rFonts w:ascii="Century Gothic" w:hAnsi="Century Gothic" w:cstheme="minorHAnsi"/>
          <w:color w:val="999999"/>
          <w:sz w:val="24"/>
          <w:szCs w:val="24"/>
        </w:rPr>
        <w:t xml:space="preserve"> 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561"/>
      </w:tblGrid>
      <w:tr w:rsidR="00107042" w:rsidRPr="00D83C48" w14:paraId="59F92D60" w14:textId="77777777" w:rsidTr="00107042">
        <w:tc>
          <w:tcPr>
            <w:tcW w:w="9346" w:type="dxa"/>
            <w:gridSpan w:val="2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25B4" w14:textId="30646102" w:rsidR="00107042" w:rsidRPr="00107042" w:rsidRDefault="00107042" w:rsidP="00514A7C">
            <w:pPr>
              <w:pStyle w:val="Normal1"/>
              <w:spacing w:after="0"/>
              <w:rPr>
                <w:rFonts w:ascii="Century Gothic" w:hAnsi="Century Gothic" w:cstheme="minorHAnsi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color w:val="FFFFFF" w:themeColor="background1"/>
                <w:sz w:val="24"/>
                <w:szCs w:val="24"/>
                <w:lang w:val="en-US"/>
              </w:rPr>
              <w:t>Revision History</w:t>
            </w:r>
          </w:p>
        </w:tc>
      </w:tr>
      <w:tr w:rsidR="00AA3863" w:rsidRPr="00D83C48" w14:paraId="5E7D9A39" w14:textId="77777777" w:rsidTr="00514A7C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F385" w14:textId="77777777" w:rsidR="00AA3863" w:rsidRPr="00D83C48" w:rsidRDefault="00AA3863" w:rsidP="00514A7C">
            <w:pPr>
              <w:pStyle w:val="Normal1"/>
              <w:spacing w:after="0"/>
              <w:rPr>
                <w:rFonts w:ascii="Century Gothic" w:hAnsi="Century Gothic" w:cstheme="minorHAnsi"/>
                <w:sz w:val="24"/>
                <w:szCs w:val="24"/>
              </w:rPr>
            </w:pPr>
            <w:r w:rsidRPr="00D83C48">
              <w:rPr>
                <w:rFonts w:ascii="Century Gothic" w:hAnsi="Century Gothic" w:cstheme="minorHAnsi"/>
                <w:sz w:val="24"/>
                <w:szCs w:val="24"/>
              </w:rPr>
              <w:t>Last updated</w:t>
            </w:r>
          </w:p>
        </w:tc>
        <w:tc>
          <w:tcPr>
            <w:tcW w:w="7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01D1" w14:textId="2CE95C92" w:rsidR="00AA3863" w:rsidRPr="00D83C48" w:rsidRDefault="00D83C48" w:rsidP="00514A7C">
            <w:pPr>
              <w:pStyle w:val="Normal1"/>
              <w:spacing w:after="0"/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D83C48">
              <w:rPr>
                <w:rFonts w:ascii="Century Gothic" w:hAnsi="Century Gothic" w:cstheme="minorHAnsi"/>
                <w:sz w:val="24"/>
                <w:szCs w:val="24"/>
                <w:lang w:val="en-US"/>
              </w:rPr>
              <w:t xml:space="preserve">2020 December </w:t>
            </w:r>
          </w:p>
        </w:tc>
      </w:tr>
    </w:tbl>
    <w:p w14:paraId="13925ABF" w14:textId="0BAC0AE4" w:rsidR="009718F8" w:rsidRDefault="009718F8" w:rsidP="00107042">
      <w:pPr>
        <w:pStyle w:val="Heading3"/>
      </w:pPr>
      <w:bookmarkStart w:id="1" w:name="_zes111bs1jla" w:colFirst="0" w:colLast="0"/>
      <w:bookmarkStart w:id="2" w:name="_rmom9bimq30r" w:colFirst="0" w:colLast="0"/>
      <w:bookmarkEnd w:id="1"/>
      <w:bookmarkEnd w:id="2"/>
    </w:p>
    <w:p w14:paraId="622A8AB8" w14:textId="77777777" w:rsidR="009718F8" w:rsidRDefault="009718F8" w:rsidP="00107042">
      <w:pPr>
        <w:rPr>
          <w:rFonts w:eastAsiaTheme="majorEastAsia"/>
          <w:color w:val="244061" w:themeColor="accent1" w:themeShade="80"/>
          <w:sz w:val="24"/>
          <w:szCs w:val="24"/>
          <w:lang w:val="en-US"/>
        </w:rPr>
      </w:pPr>
      <w:r>
        <w:br w:type="page"/>
      </w:r>
    </w:p>
    <w:p w14:paraId="45DEB3FF" w14:textId="77777777" w:rsidR="00AA3863" w:rsidRPr="00D83C48" w:rsidRDefault="00AA3863" w:rsidP="00107042">
      <w:pPr>
        <w:pStyle w:val="Heading3"/>
      </w:pPr>
    </w:p>
    <w:sdt>
      <w:sdtPr>
        <w:rPr>
          <w:rFonts w:eastAsiaTheme="minorHAnsi" w:cstheme="minorHAnsi"/>
          <w:sz w:val="22"/>
          <w:szCs w:val="22"/>
          <w:lang w:val="fr-FR"/>
        </w:rPr>
        <w:id w:val="-1180966865"/>
        <w:docPartObj>
          <w:docPartGallery w:val="Table of Contents"/>
          <w:docPartUnique/>
        </w:docPartObj>
      </w:sdtPr>
      <w:sdtEndPr>
        <w:rPr>
          <w:b/>
          <w:bCs/>
          <w:noProof/>
          <w:color w:val="0F243E" w:themeColor="text2" w:themeShade="80"/>
        </w:rPr>
      </w:sdtEndPr>
      <w:sdtContent>
        <w:p w14:paraId="618BEE27" w14:textId="0455709F" w:rsidR="0072518A" w:rsidRDefault="0072518A" w:rsidP="0072518A">
          <w:pPr>
            <w:pStyle w:val="TOCHeading"/>
            <w:numPr>
              <w:ilvl w:val="0"/>
              <w:numId w:val="0"/>
            </w:numPr>
          </w:pPr>
          <w:r>
            <w:t>Table of Contents</w:t>
          </w:r>
        </w:p>
        <w:p w14:paraId="48CAD2EB" w14:textId="40E54033" w:rsidR="00214C3B" w:rsidRDefault="0072518A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sz w:val="22"/>
              <w:szCs w:val="22"/>
              <w:lang w:val="en-ZA" w:eastAsia="en-ZA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61384552" w:history="1">
            <w:r w:rsidR="00214C3B" w:rsidRPr="004A633E">
              <w:rPr>
                <w:rStyle w:val="Hyperlink"/>
                <w:noProof/>
              </w:rPr>
              <w:t>1.</w:t>
            </w:r>
            <w:r w:rsidR="00214C3B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sz w:val="22"/>
                <w:szCs w:val="22"/>
                <w:lang w:val="en-ZA" w:eastAsia="en-ZA"/>
              </w:rPr>
              <w:tab/>
            </w:r>
            <w:r w:rsidR="00214C3B" w:rsidRPr="004A633E">
              <w:rPr>
                <w:rStyle w:val="Hyperlink"/>
                <w:noProof/>
              </w:rPr>
              <w:t>Purpose</w:t>
            </w:r>
            <w:r w:rsidR="00214C3B">
              <w:rPr>
                <w:noProof/>
                <w:webHidden/>
              </w:rPr>
              <w:tab/>
            </w:r>
            <w:r w:rsidR="00214C3B">
              <w:rPr>
                <w:noProof/>
                <w:webHidden/>
              </w:rPr>
              <w:fldChar w:fldCharType="begin"/>
            </w:r>
            <w:r w:rsidR="00214C3B">
              <w:rPr>
                <w:noProof/>
                <w:webHidden/>
              </w:rPr>
              <w:instrText xml:space="preserve"> PAGEREF _Toc61384552 \h </w:instrText>
            </w:r>
            <w:r w:rsidR="00214C3B">
              <w:rPr>
                <w:noProof/>
                <w:webHidden/>
              </w:rPr>
            </w:r>
            <w:r w:rsidR="00214C3B">
              <w:rPr>
                <w:noProof/>
                <w:webHidden/>
              </w:rPr>
              <w:fldChar w:fldCharType="separate"/>
            </w:r>
            <w:r w:rsidR="00214C3B">
              <w:rPr>
                <w:noProof/>
                <w:webHidden/>
              </w:rPr>
              <w:t>3</w:t>
            </w:r>
            <w:r w:rsidR="00214C3B">
              <w:rPr>
                <w:noProof/>
                <w:webHidden/>
              </w:rPr>
              <w:fldChar w:fldCharType="end"/>
            </w:r>
          </w:hyperlink>
        </w:p>
        <w:p w14:paraId="280A5584" w14:textId="1F439778" w:rsidR="00214C3B" w:rsidRDefault="00214C3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sz w:val="22"/>
              <w:szCs w:val="22"/>
              <w:lang w:val="en-ZA" w:eastAsia="en-ZA"/>
            </w:rPr>
          </w:pPr>
          <w:hyperlink w:anchor="_Toc61384553" w:history="1">
            <w:r w:rsidRPr="004A633E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sz w:val="22"/>
                <w:szCs w:val="22"/>
                <w:lang w:val="en-ZA" w:eastAsia="en-ZA"/>
              </w:rPr>
              <w:tab/>
            </w:r>
            <w:r w:rsidRPr="004A633E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_Toc61384553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F821E" w14:textId="79DDE529" w:rsidR="00214C3B" w:rsidRDefault="00214C3B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  <w:sz w:val="22"/>
              <w:szCs w:val="22"/>
              <w:lang w:val="en-ZA" w:eastAsia="en-ZA"/>
            </w:rPr>
          </w:pPr>
          <w:hyperlink w:anchor="_Toc61384554" w:history="1">
            <w:r w:rsidRPr="004A633E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  <w:sz w:val="22"/>
                <w:szCs w:val="22"/>
                <w:lang w:val="en-ZA" w:eastAsia="en-ZA"/>
              </w:rPr>
              <w:tab/>
            </w:r>
            <w:r w:rsidRPr="004A633E">
              <w:rPr>
                <w:rStyle w:val="Hyperlink"/>
                <w:noProof/>
              </w:rPr>
              <w:t>Third-Party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_Toc61384554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F9895" w14:textId="55B60459" w:rsidR="00214C3B" w:rsidRDefault="00214C3B">
          <w:pPr>
            <w:pStyle w:val="TOC2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noProof/>
              <w:color w:val="auto"/>
              <w:lang w:val="en-ZA" w:eastAsia="en-ZA"/>
            </w:rPr>
          </w:pPr>
          <w:hyperlink w:anchor="_Toc61384555" w:history="1">
            <w:r w:rsidRPr="004A633E">
              <w:rPr>
                <w:rStyle w:val="Hyperlink"/>
                <w:noProof/>
              </w:rPr>
              <w:t>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_Toc61384555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D643E" w14:textId="44ADCF08" w:rsidR="00214C3B" w:rsidRDefault="00214C3B">
          <w:pPr>
            <w:pStyle w:val="TOC2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noProof/>
              <w:color w:val="auto"/>
              <w:lang w:val="en-ZA" w:eastAsia="en-ZA"/>
            </w:rPr>
          </w:pPr>
          <w:hyperlink w:anchor="_Toc61384556" w:history="1">
            <w:r w:rsidRPr="004A633E">
              <w:rPr>
                <w:rStyle w:val="Hyperlink"/>
                <w:noProof/>
              </w:rPr>
              <w:t>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_Toc61384556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B8FBE" w14:textId="01A3939B" w:rsidR="00214C3B" w:rsidRDefault="00214C3B">
          <w:pPr>
            <w:pStyle w:val="TOC3"/>
            <w:tabs>
              <w:tab w:val="right" w:leader="dot" w:pos="9062"/>
            </w:tabs>
            <w:rPr>
              <w:rFonts w:eastAsiaTheme="minorEastAsia" w:cstheme="minorBidi"/>
              <w:noProof/>
              <w:color w:val="auto"/>
              <w:sz w:val="22"/>
              <w:szCs w:val="22"/>
              <w:lang w:val="en-ZA" w:eastAsia="en-ZA"/>
            </w:rPr>
          </w:pPr>
          <w:hyperlink w:anchor="_Toc61384557" w:history="1">
            <w:r w:rsidRPr="004A633E">
              <w:rPr>
                <w:rStyle w:val="Hyperlink"/>
                <w:noProof/>
              </w:rPr>
              <w:t>Third-Party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_Toc61384557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6312F" w14:textId="0313F112" w:rsidR="00214C3B" w:rsidRDefault="00214C3B">
          <w:pPr>
            <w:pStyle w:val="TOC3"/>
            <w:tabs>
              <w:tab w:val="right" w:leader="dot" w:pos="9062"/>
            </w:tabs>
            <w:rPr>
              <w:rFonts w:eastAsiaTheme="minorEastAsia" w:cstheme="minorBidi"/>
              <w:noProof/>
              <w:color w:val="auto"/>
              <w:sz w:val="22"/>
              <w:szCs w:val="22"/>
              <w:lang w:val="en-ZA" w:eastAsia="en-ZA"/>
            </w:rPr>
          </w:pPr>
          <w:hyperlink w:anchor="_Toc61384558" w:history="1">
            <w:r w:rsidRPr="004A633E">
              <w:rPr>
                <w:rStyle w:val="Hyperlink"/>
                <w:noProof/>
              </w:rPr>
              <w:t>Internal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_Toc61384558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C2BE7" w14:textId="5FD9A4A6" w:rsidR="0072518A" w:rsidRDefault="0072518A">
          <w:r>
            <w:rPr>
              <w:b/>
              <w:bCs/>
              <w:noProof/>
            </w:rPr>
            <w:fldChar w:fldCharType="end"/>
          </w:r>
        </w:p>
      </w:sdtContent>
    </w:sdt>
    <w:p w14:paraId="70B00349" w14:textId="77777777" w:rsidR="00AA3863" w:rsidRPr="00D83C48" w:rsidRDefault="00AA3863" w:rsidP="00107042"/>
    <w:p w14:paraId="2B7B06AD" w14:textId="77777777" w:rsidR="00AA3863" w:rsidRPr="00D83C48" w:rsidRDefault="00AA3863" w:rsidP="00107042"/>
    <w:p w14:paraId="29BBD7C4" w14:textId="77777777" w:rsidR="00AA3863" w:rsidRPr="00D83C48" w:rsidRDefault="00AA3863" w:rsidP="00107042"/>
    <w:p w14:paraId="6A5A5EEA" w14:textId="27F8394F" w:rsidR="00AA3863" w:rsidRPr="00D83C48" w:rsidRDefault="009718F8" w:rsidP="00107042">
      <w:r>
        <w:br w:type="page"/>
      </w:r>
    </w:p>
    <w:p w14:paraId="402611AF" w14:textId="0A3E03EE" w:rsidR="00AA3863" w:rsidRPr="0072518A" w:rsidRDefault="00AA3863" w:rsidP="00107042">
      <w:pPr>
        <w:pStyle w:val="Heading1"/>
        <w:rPr>
          <w:color w:val="365F91" w:themeColor="accent1" w:themeShade="BF"/>
        </w:rPr>
      </w:pPr>
      <w:bookmarkStart w:id="3" w:name="_Toc61384552"/>
      <w:r w:rsidRPr="0072518A">
        <w:rPr>
          <w:color w:val="365F91" w:themeColor="accent1" w:themeShade="BF"/>
        </w:rPr>
        <w:lastRenderedPageBreak/>
        <w:t>Purpose</w:t>
      </w:r>
      <w:bookmarkEnd w:id="3"/>
    </w:p>
    <w:p w14:paraId="6C1DF95A" w14:textId="70CFD19A" w:rsidR="00AA3863" w:rsidRPr="00D83C48" w:rsidRDefault="00AA3863" w:rsidP="00107042">
      <w:r w:rsidRPr="00107042">
        <w:t>Our third-party policy helps the incumbent use their IT resources appropriately. The management of third-party access is essential to our everyday jobs. We want to ensure that our employees understand the limitations of using their corporate third-party software.</w:t>
      </w:r>
      <w:r w:rsidR="00107042">
        <w:t xml:space="preserve"> </w:t>
      </w:r>
      <w:r w:rsidRPr="00D83C48">
        <w:t>Our goal is to protect confidential data from breaches</w:t>
      </w:r>
      <w:r w:rsidR="006716B2">
        <w:t>,</w:t>
      </w:r>
      <w:r w:rsidRPr="00D83C48">
        <w:t xml:space="preserve"> and safeguard our reputation and technological property</w:t>
      </w:r>
      <w:r w:rsidR="00D83C48" w:rsidRPr="00D83C48">
        <w:t xml:space="preserve"> and those of our partners.</w:t>
      </w:r>
    </w:p>
    <w:p w14:paraId="54F3D679" w14:textId="77777777" w:rsidR="00AA3863" w:rsidRPr="0072518A" w:rsidRDefault="00AA3863" w:rsidP="00107042">
      <w:pPr>
        <w:pStyle w:val="Heading1"/>
        <w:rPr>
          <w:color w:val="365F91" w:themeColor="accent1" w:themeShade="BF"/>
        </w:rPr>
      </w:pPr>
      <w:bookmarkStart w:id="4" w:name="_rldd03ok7vq4" w:colFirst="0" w:colLast="0"/>
      <w:bookmarkStart w:id="5" w:name="_Toc61384553"/>
      <w:bookmarkEnd w:id="4"/>
      <w:r w:rsidRPr="0072518A">
        <w:rPr>
          <w:color w:val="365F91" w:themeColor="accent1" w:themeShade="BF"/>
        </w:rPr>
        <w:t>Scope</w:t>
      </w:r>
      <w:bookmarkEnd w:id="5"/>
    </w:p>
    <w:p w14:paraId="2977C5A3" w14:textId="27B657E1" w:rsidR="00AA3863" w:rsidRPr="00D83C48" w:rsidRDefault="00AA3863" w:rsidP="00107042">
      <w:r w:rsidRPr="00D83C48">
        <w:t xml:space="preserve">This policy applies to all employees, vendors and partners who are assigned (or given access to) a corporate </w:t>
      </w:r>
      <w:r w:rsidR="00D83C48">
        <w:t xml:space="preserve">network and </w:t>
      </w:r>
      <w:r w:rsidRPr="00D83C48">
        <w:t xml:space="preserve">email. </w:t>
      </w:r>
    </w:p>
    <w:p w14:paraId="72E5C458" w14:textId="2B3ACD84" w:rsidR="00AA3863" w:rsidRPr="0072518A" w:rsidRDefault="009718F8" w:rsidP="00107042">
      <w:pPr>
        <w:pStyle w:val="Heading1"/>
        <w:rPr>
          <w:color w:val="365F91" w:themeColor="accent1" w:themeShade="BF"/>
        </w:rPr>
      </w:pPr>
      <w:bookmarkStart w:id="6" w:name="_Toc61384554"/>
      <w:r w:rsidRPr="0072518A">
        <w:rPr>
          <w:color w:val="365F91" w:themeColor="accent1" w:themeShade="BF"/>
        </w:rPr>
        <w:t>Third-Party Access</w:t>
      </w:r>
      <w:bookmarkEnd w:id="6"/>
    </w:p>
    <w:p w14:paraId="72B6A56F" w14:textId="77777777" w:rsidR="006E5401" w:rsidRDefault="006E5401" w:rsidP="00214C3B">
      <w:pPr>
        <w:pStyle w:val="NoSpacing"/>
      </w:pPr>
    </w:p>
    <w:p w14:paraId="7BED1846" w14:textId="77777777" w:rsidR="006E5401" w:rsidRPr="0072518A" w:rsidRDefault="00AA3863" w:rsidP="006E5401">
      <w:pPr>
        <w:pStyle w:val="Heading2"/>
        <w:rPr>
          <w:color w:val="365F91" w:themeColor="accent1" w:themeShade="BF"/>
        </w:rPr>
      </w:pPr>
      <w:bookmarkStart w:id="7" w:name="_Toc61384555"/>
      <w:r w:rsidRPr="0072518A">
        <w:rPr>
          <w:color w:val="365F91" w:themeColor="accent1" w:themeShade="BF"/>
        </w:rPr>
        <w:t>Principal</w:t>
      </w:r>
      <w:bookmarkEnd w:id="7"/>
      <w:r w:rsidRPr="0072518A">
        <w:rPr>
          <w:color w:val="365F91" w:themeColor="accent1" w:themeShade="BF"/>
        </w:rPr>
        <w:t xml:space="preserve"> </w:t>
      </w:r>
    </w:p>
    <w:p w14:paraId="7D9BDE7D" w14:textId="5DC22407" w:rsidR="00AA3863" w:rsidRPr="00D83C48" w:rsidRDefault="00AA3863" w:rsidP="006E5401">
      <w:r w:rsidRPr="00D83C48">
        <w:t>The utilisation of third parties must be formally managed and controlled to ensure that all</w:t>
      </w:r>
      <w:r w:rsidR="00D83C48">
        <w:t xml:space="preserve"> </w:t>
      </w:r>
      <w:r w:rsidRPr="00D83C48">
        <w:t xml:space="preserve">risks to </w:t>
      </w:r>
      <w:r w:rsidR="00D83C48" w:rsidRPr="00D83C48">
        <w:t>Group Media Contact</w:t>
      </w:r>
      <w:r w:rsidRPr="00D83C48">
        <w:t xml:space="preserve"> are quantified, accepted, and minimised where appropriate.</w:t>
      </w:r>
    </w:p>
    <w:p w14:paraId="3F565ABB" w14:textId="77777777" w:rsidR="00107042" w:rsidRDefault="00107042" w:rsidP="00214C3B">
      <w:pPr>
        <w:pStyle w:val="NoSpacing"/>
      </w:pPr>
    </w:p>
    <w:p w14:paraId="7EDA1F9B" w14:textId="6FA8F1EF" w:rsidR="00AA3863" w:rsidRPr="0072518A" w:rsidRDefault="009718F8" w:rsidP="00107042">
      <w:pPr>
        <w:pStyle w:val="Heading2"/>
        <w:rPr>
          <w:color w:val="365F91" w:themeColor="accent1" w:themeShade="BF"/>
        </w:rPr>
      </w:pPr>
      <w:bookmarkStart w:id="8" w:name="_Toc61384556"/>
      <w:r w:rsidRPr="0072518A">
        <w:rPr>
          <w:color w:val="365F91" w:themeColor="accent1" w:themeShade="BF"/>
        </w:rPr>
        <w:t>Practices</w:t>
      </w:r>
      <w:bookmarkEnd w:id="8"/>
    </w:p>
    <w:p w14:paraId="5B0DF826" w14:textId="5FCCEFEA" w:rsidR="00AA3863" w:rsidRPr="00107042" w:rsidRDefault="00AA3863" w:rsidP="00214C3B">
      <w:pPr>
        <w:pStyle w:val="Heading3"/>
        <w:ind w:firstLine="360"/>
      </w:pPr>
      <w:bookmarkStart w:id="9" w:name="_Toc61384557"/>
      <w:r w:rsidRPr="00107042">
        <w:t>Third-Party Requirements</w:t>
      </w:r>
      <w:bookmarkEnd w:id="9"/>
    </w:p>
    <w:p w14:paraId="1A6B7548" w14:textId="3799FEDA" w:rsidR="00321745" w:rsidRPr="00107042" w:rsidRDefault="00321745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Third parties must agree to and sign a legally binding contract and, where relevant, a Service Level Agreement (SLA), before being granted access to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IT infrastructure.</w:t>
      </w:r>
    </w:p>
    <w:p w14:paraId="41F5BB06" w14:textId="79F72C4D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Third Parties must sign a standard, approved Confidentiality Agreement</w:t>
      </w:r>
    </w:p>
    <w:p w14:paraId="2DB92B92" w14:textId="13537DCA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Where one is in force, Third Parties must agree to abide by the rules in the Code of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Con</w:t>
      </w:r>
      <w:r w:rsidR="00D83C48" w:rsidRPr="00107042">
        <w:rPr>
          <w:rFonts w:ascii="Century Gothic" w:hAnsi="Century Gothic"/>
          <w:sz w:val="22"/>
          <w:szCs w:val="22"/>
        </w:rPr>
        <w:t xml:space="preserve">duct </w:t>
      </w:r>
      <w:r w:rsidRPr="00107042">
        <w:rPr>
          <w:rFonts w:ascii="Century Gothic" w:hAnsi="Century Gothic"/>
          <w:sz w:val="22"/>
          <w:szCs w:val="22"/>
        </w:rPr>
        <w:t>applicable to the network, system or service being accessed. This may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typically include a requirement not to connect elsewhere (including back to the Third Parties own corporate infrastructure) without prior </w:t>
      </w:r>
      <w:proofErr w:type="spellStart"/>
      <w:r w:rsidRPr="00107042">
        <w:rPr>
          <w:rFonts w:ascii="Century Gothic" w:hAnsi="Century Gothic"/>
          <w:sz w:val="22"/>
          <w:szCs w:val="22"/>
        </w:rPr>
        <w:t>authorisation</w:t>
      </w:r>
      <w:proofErr w:type="spellEnd"/>
      <w:r w:rsidRPr="00107042">
        <w:rPr>
          <w:rFonts w:ascii="Century Gothic" w:hAnsi="Century Gothic"/>
          <w:sz w:val="22"/>
          <w:szCs w:val="22"/>
        </w:rPr>
        <w:t>.</w:t>
      </w:r>
    </w:p>
    <w:p w14:paraId="15DFF917" w14:textId="407CBD85" w:rsidR="00321745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Third Parties must provide full details of onward connectivity from systems accessing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infrastructure, especially if this includes connections to other Third Parties or public networks. Evidence of appropriate barriers or firewalls </w:t>
      </w:r>
      <w:r w:rsidR="0062705E" w:rsidRPr="00107042">
        <w:rPr>
          <w:rFonts w:ascii="Century Gothic" w:hAnsi="Century Gothic"/>
          <w:sz w:val="22"/>
          <w:szCs w:val="22"/>
        </w:rPr>
        <w:t>etc.</w:t>
      </w:r>
      <w:r w:rsidRPr="00107042">
        <w:rPr>
          <w:rFonts w:ascii="Century Gothic" w:hAnsi="Century Gothic"/>
          <w:sz w:val="22"/>
          <w:szCs w:val="22"/>
        </w:rPr>
        <w:t xml:space="preserve"> must be provided.</w:t>
      </w:r>
    </w:p>
    <w:p w14:paraId="1DA98443" w14:textId="3913EFD5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Third Parties must co-operate with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during the investigation of any incident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and are expected to work with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in achieving ongoing compliance with the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IT Security Policies.</w:t>
      </w:r>
      <w:r w:rsidRPr="00107042">
        <w:rPr>
          <w:rFonts w:ascii="Century Gothic" w:hAnsi="Century Gothic"/>
          <w:sz w:val="22"/>
          <w:szCs w:val="22"/>
        </w:rPr>
        <w:tab/>
      </w:r>
    </w:p>
    <w:p w14:paraId="0B43D124" w14:textId="77777777" w:rsidR="00AA3863" w:rsidRPr="00107042" w:rsidRDefault="00AA3863" w:rsidP="00107042"/>
    <w:p w14:paraId="1C6339B8" w14:textId="7333E573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 Dependent upon the nature of the service provided,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may seek a Right of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Audit to ensure that controls are being followed and to investigate any incident. Third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Parties are requested to co-operate with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in drawing up such an agreement.</w:t>
      </w:r>
    </w:p>
    <w:p w14:paraId="173FD719" w14:textId="3DB4256B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All Third-Party staff, contractors and sub-contractors who are involved in access to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system or network infrastructure must be made aware of and be bound by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these requirements.</w:t>
      </w:r>
    </w:p>
    <w:p w14:paraId="3A965240" w14:textId="2D7C08CB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Third-Party users must be individually identifiable and accountable for their actions,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precluding the use of shared or team accounts. If shared accounts are unavoidable,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the Third Party must give a firm commitment that it will be held wholly responsible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for the actions of its staff, contractors, or agents.</w:t>
      </w:r>
    </w:p>
    <w:p w14:paraId="12FE3F6C" w14:textId="3A4A9687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Third Parties may be required to provide evidence (at a suitably high level) of their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internal security management procedures and controls and their method of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enforcement to demonstrate their ability to meet these requirements. This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may include staff selection, training, and disciplinary procedures.</w:t>
      </w:r>
    </w:p>
    <w:p w14:paraId="07761FB7" w14:textId="37F83A27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Third Parties must adequately protect access to resources which grant access to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infrastructure, at both a physical and a logical level. This may require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locating equipment in a separately locked area with controls over its access.</w:t>
      </w:r>
    </w:p>
    <w:p w14:paraId="21C342DD" w14:textId="047A7138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Any dial-in access by Third Parties to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systems or networks, or the Third Parties own infrastructure if access to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resources is then made possible, must be subject to “Strong Authentication”. </w:t>
      </w:r>
    </w:p>
    <w:p w14:paraId="79BFA07D" w14:textId="71617B2A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Access to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systems or networks across public network infrastructure such as the Internet or public packet-switched networks must similarly be strongly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authenticated (and may not be granted).</w:t>
      </w:r>
    </w:p>
    <w:p w14:paraId="340C9B55" w14:textId="7AB88E84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Third Parties must hold any information provided about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>, it's systems,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networks, applications, personnel, procedures, and policies securely unless such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information is already in the public domain. On termination of contract, all such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information must be returned to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and/or all records securely destroyed.</w:t>
      </w:r>
    </w:p>
    <w:p w14:paraId="3CFDE247" w14:textId="6E7CD749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Confidential information must not be sent by unencrypted email over untrusted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networks such as the Internet or by fax without appropriate controls to ensure it is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received only by the intended recipient.</w:t>
      </w:r>
    </w:p>
    <w:p w14:paraId="39D15CC0" w14:textId="653CE8D5" w:rsidR="00AA3863" w:rsidRPr="00107042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Where software, documents or other susceptible materials are being distributed,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measures must be taken by the Third Party to prevent the introduction of viruses,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trojan horses or other unauthorised modifications into the code.</w:t>
      </w:r>
    </w:p>
    <w:p w14:paraId="7EFF1C48" w14:textId="288AFB0B" w:rsidR="00AA3863" w:rsidRDefault="00AA3863" w:rsidP="00107042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Business data must not be captured for diagnostic or other purposes without prior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62705E" w:rsidRPr="00107042">
        <w:rPr>
          <w:rFonts w:ascii="Century Gothic" w:hAnsi="Century Gothic"/>
          <w:sz w:val="22"/>
          <w:szCs w:val="22"/>
        </w:rPr>
        <w:t>authorization</w:t>
      </w:r>
      <w:r w:rsidRPr="00107042">
        <w:rPr>
          <w:rFonts w:ascii="Century Gothic" w:hAnsi="Century Gothic"/>
          <w:sz w:val="22"/>
          <w:szCs w:val="22"/>
        </w:rPr>
        <w:t xml:space="preserve"> from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and strict internal controls over its use. Any data so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captured must be securely destroyed at the earliest opportunity. </w:t>
      </w:r>
      <w:r w:rsidR="00D83C48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A log must be kept of all such data capture activity recording the time, duration, purpose, authorisation, and individual carrying out the </w:t>
      </w:r>
      <w:r w:rsidRPr="00107042">
        <w:rPr>
          <w:rFonts w:ascii="Century Gothic" w:hAnsi="Century Gothic"/>
          <w:sz w:val="22"/>
          <w:szCs w:val="22"/>
        </w:rPr>
        <w:lastRenderedPageBreak/>
        <w:t xml:space="preserve">data capture. This log must be made available to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on request and as a matter of routine (</w:t>
      </w:r>
      <w:r w:rsidR="00107042" w:rsidRPr="00107042">
        <w:rPr>
          <w:rFonts w:ascii="Century Gothic" w:hAnsi="Century Gothic"/>
          <w:sz w:val="22"/>
          <w:szCs w:val="22"/>
        </w:rPr>
        <w:t>e.g.,</w:t>
      </w:r>
      <w:r w:rsidRPr="00107042">
        <w:rPr>
          <w:rFonts w:ascii="Century Gothic" w:hAnsi="Century Gothic"/>
          <w:sz w:val="22"/>
          <w:szCs w:val="22"/>
        </w:rPr>
        <w:t xml:space="preserve"> at monthly service review meetings). NB. simple file deletion is often inadequate to remove all traces of data. A secure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method of eradication must be employed.</w:t>
      </w:r>
    </w:p>
    <w:p w14:paraId="76CD8CAA" w14:textId="77777777" w:rsidR="0072518A" w:rsidRPr="0072518A" w:rsidRDefault="0072518A" w:rsidP="0072518A">
      <w:pPr>
        <w:ind w:left="360"/>
      </w:pPr>
    </w:p>
    <w:p w14:paraId="1BECF6BC" w14:textId="77777777" w:rsidR="00AA3863" w:rsidRPr="00D83C48" w:rsidRDefault="00AA3863" w:rsidP="00214C3B">
      <w:pPr>
        <w:pStyle w:val="Heading3"/>
        <w:ind w:firstLine="360"/>
      </w:pPr>
      <w:bookmarkStart w:id="10" w:name="_Toc61384558"/>
      <w:r w:rsidRPr="00D83C48">
        <w:t>Internal Requirements</w:t>
      </w:r>
      <w:bookmarkEnd w:id="10"/>
    </w:p>
    <w:p w14:paraId="70977C8F" w14:textId="4EE58ADF" w:rsidR="00AA3863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All-access by Third Parties to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resources, data, or </w:t>
      </w:r>
      <w:r w:rsidR="0062705E" w:rsidRPr="00107042">
        <w:rPr>
          <w:rFonts w:ascii="Century Gothic" w:hAnsi="Century Gothic"/>
          <w:sz w:val="22"/>
          <w:szCs w:val="22"/>
        </w:rPr>
        <w:t>computerized</w:t>
      </w:r>
      <w:r w:rsidRPr="00107042">
        <w:rPr>
          <w:rFonts w:ascii="Century Gothic" w:hAnsi="Century Gothic"/>
          <w:sz w:val="22"/>
          <w:szCs w:val="22"/>
        </w:rPr>
        <w:t xml:space="preserve"> business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functions shall be subject to a formal contract or SLA which addresses security and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control issues and defines responsibility for them</w:t>
      </w:r>
    </w:p>
    <w:p w14:paraId="137934D2" w14:textId="7FFBEA6B" w:rsidR="00321745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All accesses shall have a designated clear owner within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who is responsible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and accountable for the contractual relationship and ensuring activities of the third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party are monitored against the contract or SLA.</w:t>
      </w:r>
    </w:p>
    <w:p w14:paraId="3F54475B" w14:textId="77777777" w:rsidR="00D83C48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The contract or SLA must be drawn up and agreed prior to the provision of the access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facility.</w:t>
      </w:r>
    </w:p>
    <w:p w14:paraId="54E9F3FC" w14:textId="4036198E" w:rsidR="00AA3863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Before granting any third-party access, an Operational Risk Assessment (ORA)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should be completed to understand the risks and what mitigating controls may be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required. This should include assessing any systems involving personal data and their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compliance with Data Protection </w:t>
      </w:r>
      <w:r w:rsidR="0062705E" w:rsidRPr="00107042">
        <w:rPr>
          <w:rFonts w:ascii="Century Gothic" w:hAnsi="Century Gothic"/>
          <w:sz w:val="22"/>
          <w:szCs w:val="22"/>
        </w:rPr>
        <w:t>legislation (</w:t>
      </w:r>
      <w:r w:rsidRPr="00107042">
        <w:rPr>
          <w:rFonts w:ascii="Century Gothic" w:hAnsi="Century Gothic"/>
          <w:sz w:val="22"/>
          <w:szCs w:val="22"/>
        </w:rPr>
        <w:t xml:space="preserve">POPI) where </w:t>
      </w:r>
      <w:r w:rsidR="0062705E" w:rsidRPr="00107042">
        <w:rPr>
          <w:rFonts w:ascii="Century Gothic" w:hAnsi="Century Gothic"/>
          <w:sz w:val="22"/>
          <w:szCs w:val="22"/>
        </w:rPr>
        <w:t>unauthorized</w:t>
      </w:r>
      <w:r w:rsidRPr="00107042">
        <w:rPr>
          <w:rFonts w:ascii="Century Gothic" w:hAnsi="Century Gothic"/>
          <w:sz w:val="22"/>
          <w:szCs w:val="22"/>
        </w:rPr>
        <w:t xml:space="preserve"> access could lead to</w:t>
      </w:r>
      <w:r w:rsidR="00107042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prosecution.</w:t>
      </w:r>
    </w:p>
    <w:p w14:paraId="3098BF00" w14:textId="7808ECED" w:rsidR="00AA3863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If access is as part of a collaborative computing session, be sure that the Third Party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can only carry out authorised activities and view data they are authorised to see.</w:t>
      </w:r>
    </w:p>
    <w:p w14:paraId="43BCE443" w14:textId="767F354C" w:rsidR="00AA3863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 detailed inventory must be maintained for all Third Party and Dial-In Access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Points, this should include the following information:</w:t>
      </w:r>
    </w:p>
    <w:p w14:paraId="092CA737" w14:textId="77777777" w:rsidR="00107042" w:rsidRPr="00D83C48" w:rsidRDefault="00107042" w:rsidP="0072518A">
      <w:pPr>
        <w:pStyle w:val="ListParagraph"/>
        <w:ind w:left="0"/>
      </w:pPr>
    </w:p>
    <w:p w14:paraId="18020CD5" w14:textId="00A76145" w:rsidR="00AA3863" w:rsidRPr="00107042" w:rsidRDefault="006E5401" w:rsidP="0072518A">
      <w:pPr>
        <w:pStyle w:val="ListParagraph"/>
        <w:numPr>
          <w:ilvl w:val="0"/>
          <w:numId w:val="13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Owner of the entry point (who is responsible for the maintenance of this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AA3863" w:rsidRPr="00107042">
        <w:rPr>
          <w:rFonts w:ascii="Century Gothic" w:hAnsi="Century Gothic"/>
          <w:sz w:val="22"/>
          <w:szCs w:val="22"/>
        </w:rPr>
        <w:t>inventory)</w:t>
      </w:r>
    </w:p>
    <w:p w14:paraId="21B315AE" w14:textId="77777777" w:rsidR="00AA3863" w:rsidRPr="00107042" w:rsidRDefault="00AA3863" w:rsidP="0072518A">
      <w:pPr>
        <w:pStyle w:val="ListParagraph"/>
        <w:numPr>
          <w:ilvl w:val="0"/>
          <w:numId w:val="13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 owner(s) of systems, applications and data accessed</w:t>
      </w:r>
    </w:p>
    <w:p w14:paraId="6E5386EE" w14:textId="526EF7E5" w:rsidR="00AA3863" w:rsidRPr="00107042" w:rsidRDefault="006E5401" w:rsidP="0072518A">
      <w:pPr>
        <w:pStyle w:val="ListParagraph"/>
        <w:numPr>
          <w:ilvl w:val="0"/>
          <w:numId w:val="13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Description and classification of data accessed</w:t>
      </w:r>
    </w:p>
    <w:p w14:paraId="156C46AF" w14:textId="69542AF4" w:rsidR="00AA3863" w:rsidRPr="00107042" w:rsidRDefault="006E5401" w:rsidP="0072518A">
      <w:pPr>
        <w:pStyle w:val="ListParagraph"/>
        <w:numPr>
          <w:ilvl w:val="0"/>
          <w:numId w:val="13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Reason for granting acce</w:t>
      </w:r>
      <w:r w:rsidR="00AA3863" w:rsidRPr="00107042">
        <w:rPr>
          <w:rFonts w:ascii="Century Gothic" w:hAnsi="Century Gothic"/>
          <w:sz w:val="22"/>
          <w:szCs w:val="22"/>
        </w:rPr>
        <w:t>ss</w:t>
      </w:r>
    </w:p>
    <w:p w14:paraId="30A36FFC" w14:textId="03B0F9A1" w:rsidR="00321745" w:rsidRPr="00107042" w:rsidRDefault="006E5401" w:rsidP="0072518A">
      <w:pPr>
        <w:pStyle w:val="ListParagraph"/>
        <w:numPr>
          <w:ilvl w:val="0"/>
          <w:numId w:val="13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Authorization</w:t>
      </w:r>
      <w:r w:rsidR="00AA3863" w:rsidRPr="00107042">
        <w:rPr>
          <w:rFonts w:ascii="Century Gothic" w:hAnsi="Century Gothic"/>
          <w:sz w:val="22"/>
          <w:szCs w:val="22"/>
        </w:rPr>
        <w:t>/dispensation for access</w:t>
      </w:r>
    </w:p>
    <w:p w14:paraId="4969004C" w14:textId="41235AA1" w:rsidR="00AA3863" w:rsidRPr="00107042" w:rsidRDefault="006E5401" w:rsidP="0072518A">
      <w:pPr>
        <w:pStyle w:val="ListParagraph"/>
        <w:numPr>
          <w:ilvl w:val="0"/>
          <w:numId w:val="13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Level of access allowed, including any time of day or frequency constraints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AA3863" w:rsidRPr="00107042">
        <w:rPr>
          <w:rFonts w:ascii="Century Gothic" w:hAnsi="Century Gothic"/>
          <w:sz w:val="22"/>
          <w:szCs w:val="22"/>
        </w:rPr>
        <w:t>and any special privileges required or denied individuals allowed access</w:t>
      </w:r>
      <w:r w:rsidR="00AA3863" w:rsidRPr="00107042">
        <w:rPr>
          <w:rFonts w:ascii="Century Gothic" w:hAnsi="Century Gothic"/>
          <w:sz w:val="22"/>
          <w:szCs w:val="22"/>
        </w:rPr>
        <w:tab/>
        <w:t>methods of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AA3863" w:rsidRPr="00107042">
        <w:rPr>
          <w:rFonts w:ascii="Century Gothic" w:hAnsi="Century Gothic"/>
          <w:sz w:val="22"/>
          <w:szCs w:val="22"/>
        </w:rPr>
        <w:t>authentication</w:t>
      </w:r>
    </w:p>
    <w:p w14:paraId="5C3D3EDF" w14:textId="5A5ED299" w:rsidR="00AA3863" w:rsidRPr="00107042" w:rsidRDefault="006E5401" w:rsidP="0072518A">
      <w:pPr>
        <w:pStyle w:val="ListParagraph"/>
        <w:numPr>
          <w:ilvl w:val="0"/>
          <w:numId w:val="14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Other security controls employed</w:t>
      </w:r>
    </w:p>
    <w:p w14:paraId="34A1D3FE" w14:textId="6C50D4D1" w:rsidR="00AA3863" w:rsidRPr="00107042" w:rsidRDefault="006E5401" w:rsidP="0072518A">
      <w:pPr>
        <w:pStyle w:val="ListParagraph"/>
        <w:numPr>
          <w:ilvl w:val="0"/>
          <w:numId w:val="14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Third p</w:t>
      </w:r>
      <w:r w:rsidR="00AA3863" w:rsidRPr="00107042">
        <w:rPr>
          <w:rFonts w:ascii="Century Gothic" w:hAnsi="Century Gothic"/>
          <w:sz w:val="22"/>
          <w:szCs w:val="22"/>
        </w:rPr>
        <w:t>arty name with contact(s) for review and escalation</w:t>
      </w:r>
    </w:p>
    <w:p w14:paraId="3F4E8F17" w14:textId="6D6CD10C" w:rsidR="00AA3863" w:rsidRPr="00107042" w:rsidRDefault="006E5401" w:rsidP="0072518A">
      <w:pPr>
        <w:pStyle w:val="ListParagraph"/>
        <w:numPr>
          <w:ilvl w:val="0"/>
          <w:numId w:val="14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Details of risk assessment carried out (pointer to document)</w:t>
      </w:r>
    </w:p>
    <w:p w14:paraId="43D43AB3" w14:textId="649191C5" w:rsidR="00AA3863" w:rsidRDefault="006E5401" w:rsidP="0072518A">
      <w:pPr>
        <w:pStyle w:val="ListParagraph"/>
        <w:numPr>
          <w:ilvl w:val="0"/>
          <w:numId w:val="14"/>
        </w:numPr>
        <w:ind w:left="1440"/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Date of last review and date for the next review.</w:t>
      </w:r>
    </w:p>
    <w:p w14:paraId="3F9211BA" w14:textId="77777777" w:rsidR="006E5401" w:rsidRPr="00107042" w:rsidRDefault="006E5401" w:rsidP="006E5401">
      <w:pPr>
        <w:pStyle w:val="ListParagraph"/>
        <w:ind w:left="2160"/>
        <w:rPr>
          <w:rFonts w:ascii="Century Gothic" w:hAnsi="Century Gothic"/>
          <w:sz w:val="22"/>
          <w:szCs w:val="22"/>
        </w:rPr>
      </w:pPr>
    </w:p>
    <w:p w14:paraId="3FDCBA99" w14:textId="77777777" w:rsidR="00AA3863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Clear roles, responsibilities and procedures should be established by both parties for:</w:t>
      </w:r>
    </w:p>
    <w:p w14:paraId="11EF43B2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date of last review and date for the next review</w:t>
      </w:r>
    </w:p>
    <w:p w14:paraId="2304BB6A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lastRenderedPageBreak/>
        <w:t>liaison regarding business issues</w:t>
      </w:r>
    </w:p>
    <w:p w14:paraId="07968A62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liaison regarding technical issues</w:t>
      </w:r>
    </w:p>
    <w:p w14:paraId="35477FE9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contract negotiation</w:t>
      </w:r>
    </w:p>
    <w:p w14:paraId="1302CADD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service level agreement negotiation and review</w:t>
      </w:r>
    </w:p>
    <w:p w14:paraId="6D2D431E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service level reporting and monitoring</w:t>
      </w:r>
    </w:p>
    <w:p w14:paraId="7C74D6FF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establishment, management, and technical support of the method of connection</w:t>
      </w:r>
    </w:p>
    <w:p w14:paraId="2968F3A4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administration of security controls and authentication systems</w:t>
      </w:r>
    </w:p>
    <w:p w14:paraId="3A57AFEC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change management procedures</w:t>
      </w:r>
    </w:p>
    <w:p w14:paraId="5104C64D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incident reporting and escalation</w:t>
      </w:r>
    </w:p>
    <w:p w14:paraId="3F386272" w14:textId="77777777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escalation of any service-related issues</w:t>
      </w:r>
    </w:p>
    <w:p w14:paraId="48B32CEA" w14:textId="6F8267F8" w:rsidR="00AA3863" w:rsidRPr="00107042" w:rsidRDefault="00AA3863" w:rsidP="00107042">
      <w:pPr>
        <w:pStyle w:val="ListParagraph"/>
        <w:numPr>
          <w:ilvl w:val="0"/>
          <w:numId w:val="15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escalation of any security-related issues (may require separate reporting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lines).</w:t>
      </w:r>
    </w:p>
    <w:p w14:paraId="19F3F505" w14:textId="77777777" w:rsidR="00321745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Consideration should be given to enhancing application-level access controls when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moving from in-house to Third Party service provision. It may be necessary to 'well-off'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certain sensitive systems or applications from possible Third-Party access.</w:t>
      </w:r>
    </w:p>
    <w:p w14:paraId="4106DFC4" w14:textId="448FE974" w:rsidR="00AA3863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All users and especially Third-Party users must be restricted to </w:t>
      </w:r>
      <w:r w:rsidR="0062705E" w:rsidRPr="00107042">
        <w:rPr>
          <w:rFonts w:ascii="Century Gothic" w:hAnsi="Century Gothic"/>
          <w:sz w:val="22"/>
          <w:szCs w:val="22"/>
        </w:rPr>
        <w:t>authorized</w:t>
      </w:r>
      <w:r w:rsidRPr="00107042">
        <w:rPr>
          <w:rFonts w:ascii="Century Gothic" w:hAnsi="Century Gothic"/>
          <w:sz w:val="22"/>
          <w:szCs w:val="22"/>
        </w:rPr>
        <w:t xml:space="preserve"> activities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only.</w:t>
      </w:r>
    </w:p>
    <w:p w14:paraId="66798A89" w14:textId="77777777" w:rsidR="00321745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As with internally managed systems, all unnecessary system diagnostic tools and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utilities must be removed before putting a system or service live, or ways found to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effectively control their use.</w:t>
      </w:r>
    </w:p>
    <w:p w14:paraId="76CB42D7" w14:textId="52144E82" w:rsidR="00321745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Where access is made over any network and particularly the Internet, restrict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addresses and protocols to only that necessary. Where possible, restrict third party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access to authorized systems only by setting up a closed pipe or forced a path through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the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 xml:space="preserve"> infrastructure to the target systems or applications.</w:t>
      </w:r>
    </w:p>
    <w:p w14:paraId="4BB4BA74" w14:textId="05C878B4" w:rsidR="00AA3863" w:rsidRPr="00107042" w:rsidRDefault="00AA3863" w:rsidP="00107042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Audit trails of significant activity carried out by Third Parties must be produced,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securely held for an appropriate period and reviewed at regular intervals.</w:t>
      </w:r>
    </w:p>
    <w:p w14:paraId="3D378DE4" w14:textId="4B0F455E" w:rsidR="00AA3863" w:rsidRPr="00107042" w:rsidRDefault="00AA3863" w:rsidP="0010704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The network or systems being accessed should have the ability to generate an alert in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the event of unauthorized access attempts or unauthorized activity. It must be possible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to shut down access in a rapid and controlled manner in the event of an attack or other</w:t>
      </w:r>
      <w:r w:rsid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exposure.</w:t>
      </w:r>
    </w:p>
    <w:p w14:paraId="7862ED8C" w14:textId="01F11DC3" w:rsidR="00321745" w:rsidRPr="00107042" w:rsidRDefault="00AA3863" w:rsidP="0010704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 xml:space="preserve">If the Third-Party is a company with multiple users authorized to access </w:t>
      </w:r>
      <w:r w:rsidR="00D83C48" w:rsidRPr="00107042">
        <w:rPr>
          <w:rFonts w:ascii="Century Gothic" w:hAnsi="Century Gothic"/>
          <w:sz w:val="22"/>
          <w:szCs w:val="22"/>
        </w:rPr>
        <w:t xml:space="preserve">Group Media </w:t>
      </w:r>
      <w:r w:rsidR="0062705E" w:rsidRPr="00107042">
        <w:rPr>
          <w:rFonts w:ascii="Century Gothic" w:hAnsi="Century Gothic"/>
          <w:sz w:val="22"/>
          <w:szCs w:val="22"/>
        </w:rPr>
        <w:t>Contact systems</w:t>
      </w:r>
      <w:r w:rsidRPr="00107042">
        <w:rPr>
          <w:rFonts w:ascii="Century Gothic" w:hAnsi="Century Gothic"/>
          <w:sz w:val="22"/>
          <w:szCs w:val="22"/>
        </w:rPr>
        <w:t>, confirmation must be obtained that all users are informed and understand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their obligations and responsibilities.</w:t>
      </w:r>
    </w:p>
    <w:p w14:paraId="45A2AE04" w14:textId="77777777" w:rsidR="00321745" w:rsidRPr="00107042" w:rsidRDefault="00AA3863" w:rsidP="0010704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Monitoring for compliance with the requirements of the contract or SLA must take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place regularly, at periods suitable for the sensitivity of the data or functions being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accessed. E.g., access for software maintenance purposes must be audit trailed and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reviewed as soon as possible after the event.</w:t>
      </w:r>
    </w:p>
    <w:p w14:paraId="4E0EF471" w14:textId="21573CBE" w:rsidR="00D83C48" w:rsidRPr="00107042" w:rsidRDefault="00D83C48" w:rsidP="0010704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Group Media Contact</w:t>
      </w:r>
      <w:r w:rsidR="00AA3863" w:rsidRPr="00107042">
        <w:rPr>
          <w:rFonts w:ascii="Century Gothic" w:hAnsi="Century Gothic"/>
          <w:sz w:val="22"/>
          <w:szCs w:val="22"/>
        </w:rPr>
        <w:t xml:space="preserve"> must reserve the right to revoke the access of Third-Party personnel in the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AA3863" w:rsidRPr="00107042">
        <w:rPr>
          <w:rFonts w:ascii="Century Gothic" w:hAnsi="Century Gothic"/>
          <w:sz w:val="22"/>
          <w:szCs w:val="22"/>
        </w:rPr>
        <w:t>event of a suspected security breach.</w:t>
      </w:r>
    </w:p>
    <w:p w14:paraId="571B03F5" w14:textId="5B31B756" w:rsidR="00321745" w:rsidRPr="00107042" w:rsidRDefault="00AA3863" w:rsidP="0010704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All-access by Third Parties should either be strongly authenticated (where the third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party is considered as trustworthy as a member of staff) or carefully firewalled (if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such authentication and trust are not possible) or both. All </w:t>
      </w:r>
      <w:r w:rsidRPr="00107042">
        <w:rPr>
          <w:rFonts w:ascii="Century Gothic" w:hAnsi="Century Gothic"/>
          <w:sz w:val="22"/>
          <w:szCs w:val="22"/>
        </w:rPr>
        <w:lastRenderedPageBreak/>
        <w:t>Internet and Extranet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 xml:space="preserve">firewalls must be formally approved following </w:t>
      </w:r>
      <w:r w:rsidR="0062705E" w:rsidRPr="00107042">
        <w:rPr>
          <w:rFonts w:ascii="Century Gothic" w:hAnsi="Century Gothic"/>
          <w:sz w:val="22"/>
          <w:szCs w:val="22"/>
        </w:rPr>
        <w:t>the Firewall</w:t>
      </w:r>
      <w:r w:rsidRPr="00107042">
        <w:rPr>
          <w:rFonts w:ascii="Century Gothic" w:hAnsi="Century Gothic"/>
          <w:sz w:val="22"/>
          <w:szCs w:val="22"/>
        </w:rPr>
        <w:t xml:space="preserve"> Approval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Process, prior to connection.</w:t>
      </w:r>
    </w:p>
    <w:p w14:paraId="5BD01536" w14:textId="43B4346B" w:rsidR="00AA3863" w:rsidRPr="00107042" w:rsidRDefault="00AA3863" w:rsidP="00107042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107042">
        <w:rPr>
          <w:rFonts w:ascii="Century Gothic" w:hAnsi="Century Gothic"/>
          <w:sz w:val="22"/>
          <w:szCs w:val="22"/>
        </w:rPr>
        <w:t>Access to Third Parties must be terminated when no longer required. The termination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process must include the return or destruction of any confidential material by the third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Pr="00107042">
        <w:rPr>
          <w:rFonts w:ascii="Century Gothic" w:hAnsi="Century Gothic"/>
          <w:sz w:val="22"/>
          <w:szCs w:val="22"/>
        </w:rPr>
        <w:t>party and will be the responsibility of the business relationship owner within</w:t>
      </w:r>
      <w:r w:rsidR="00321745" w:rsidRPr="00107042">
        <w:rPr>
          <w:rFonts w:ascii="Century Gothic" w:hAnsi="Century Gothic"/>
          <w:sz w:val="22"/>
          <w:szCs w:val="22"/>
        </w:rPr>
        <w:t xml:space="preserve"> </w:t>
      </w:r>
      <w:r w:rsidR="00D83C48" w:rsidRPr="00107042">
        <w:rPr>
          <w:rFonts w:ascii="Century Gothic" w:hAnsi="Century Gothic"/>
          <w:sz w:val="22"/>
          <w:szCs w:val="22"/>
        </w:rPr>
        <w:t>Group Media Contact</w:t>
      </w:r>
      <w:r w:rsidRPr="00107042">
        <w:rPr>
          <w:rFonts w:ascii="Century Gothic" w:hAnsi="Century Gothic"/>
          <w:sz w:val="22"/>
          <w:szCs w:val="22"/>
        </w:rPr>
        <w:t>.</w:t>
      </w:r>
    </w:p>
    <w:p w14:paraId="58CA91C8" w14:textId="77777777" w:rsidR="00AA3863" w:rsidRPr="00107042" w:rsidRDefault="00AA3863" w:rsidP="00107042"/>
    <w:p w14:paraId="0424ACFA" w14:textId="55623D1C" w:rsidR="00AC0417" w:rsidRPr="00D83C48" w:rsidRDefault="00AC0417" w:rsidP="00107042"/>
    <w:sectPr w:rsidR="00AC0417" w:rsidRPr="00D83C48" w:rsidSect="00F04AC9">
      <w:headerReference w:type="default" r:id="rId8"/>
      <w:footerReference w:type="default" r:id="rId9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EF257" w14:textId="77777777" w:rsidR="004C6C36" w:rsidRDefault="004C6C36" w:rsidP="00107042">
      <w:r>
        <w:separator/>
      </w:r>
    </w:p>
  </w:endnote>
  <w:endnote w:type="continuationSeparator" w:id="0">
    <w:p w14:paraId="56F49B1D" w14:textId="77777777" w:rsidR="004C6C36" w:rsidRDefault="004C6C36" w:rsidP="0010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Raleway">
    <w:altName w:val="Times New Roman"/>
    <w:charset w:val="00"/>
    <w:family w:val="swiss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D1A30" w14:textId="77777777" w:rsidR="00F42228" w:rsidRDefault="00F42228" w:rsidP="00107042">
    <w:pPr>
      <w:pStyle w:val="Foo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4460D3F" wp14:editId="1E771470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49167" w14:textId="77777777" w:rsidR="004C6C36" w:rsidRDefault="004C6C36" w:rsidP="00107042">
      <w:r>
        <w:separator/>
      </w:r>
    </w:p>
  </w:footnote>
  <w:footnote w:type="continuationSeparator" w:id="0">
    <w:p w14:paraId="02872D85" w14:textId="77777777" w:rsidR="004C6C36" w:rsidRDefault="004C6C36" w:rsidP="0010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D4F78" w14:textId="77777777" w:rsidR="00F42228" w:rsidRDefault="00F42228" w:rsidP="00107042">
    <w:pPr>
      <w:pStyle w:val="Head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BA2217C" wp14:editId="25EB707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3336"/>
    <w:multiLevelType w:val="multilevel"/>
    <w:tmpl w:val="B2BC4F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AF0E3F"/>
    <w:multiLevelType w:val="hybridMultilevel"/>
    <w:tmpl w:val="CFBE2FF2"/>
    <w:lvl w:ilvl="0" w:tplc="C34E39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6643ED0" w:tentative="1">
      <w:start w:val="1"/>
      <w:numFmt w:val="lowerLetter"/>
      <w:lvlText w:val="%2."/>
      <w:lvlJc w:val="left"/>
      <w:pPr>
        <w:ind w:left="1440" w:hanging="360"/>
      </w:pPr>
    </w:lvl>
    <w:lvl w:ilvl="2" w:tplc="05C6C6F0" w:tentative="1">
      <w:start w:val="1"/>
      <w:numFmt w:val="lowerRoman"/>
      <w:lvlText w:val="%3."/>
      <w:lvlJc w:val="right"/>
      <w:pPr>
        <w:ind w:left="2160" w:hanging="180"/>
      </w:pPr>
    </w:lvl>
    <w:lvl w:ilvl="3" w:tplc="88EA0A12" w:tentative="1">
      <w:start w:val="1"/>
      <w:numFmt w:val="decimal"/>
      <w:lvlText w:val="%4."/>
      <w:lvlJc w:val="left"/>
      <w:pPr>
        <w:ind w:left="2880" w:hanging="360"/>
      </w:pPr>
    </w:lvl>
    <w:lvl w:ilvl="4" w:tplc="B03ED0C8" w:tentative="1">
      <w:start w:val="1"/>
      <w:numFmt w:val="lowerLetter"/>
      <w:lvlText w:val="%5."/>
      <w:lvlJc w:val="left"/>
      <w:pPr>
        <w:ind w:left="3600" w:hanging="360"/>
      </w:pPr>
    </w:lvl>
    <w:lvl w:ilvl="5" w:tplc="13DC2062" w:tentative="1">
      <w:start w:val="1"/>
      <w:numFmt w:val="lowerRoman"/>
      <w:lvlText w:val="%6."/>
      <w:lvlJc w:val="right"/>
      <w:pPr>
        <w:ind w:left="4320" w:hanging="180"/>
      </w:pPr>
    </w:lvl>
    <w:lvl w:ilvl="6" w:tplc="BC92D89C" w:tentative="1">
      <w:start w:val="1"/>
      <w:numFmt w:val="decimal"/>
      <w:lvlText w:val="%7."/>
      <w:lvlJc w:val="left"/>
      <w:pPr>
        <w:ind w:left="5040" w:hanging="360"/>
      </w:pPr>
    </w:lvl>
    <w:lvl w:ilvl="7" w:tplc="8FAAFAE8" w:tentative="1">
      <w:start w:val="1"/>
      <w:numFmt w:val="lowerLetter"/>
      <w:lvlText w:val="%8."/>
      <w:lvlJc w:val="left"/>
      <w:pPr>
        <w:ind w:left="5760" w:hanging="360"/>
      </w:pPr>
    </w:lvl>
    <w:lvl w:ilvl="8" w:tplc="2F1EE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F7BF4"/>
    <w:multiLevelType w:val="multilevel"/>
    <w:tmpl w:val="24E245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B802C3"/>
    <w:multiLevelType w:val="multilevel"/>
    <w:tmpl w:val="E91A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2E54784E"/>
    <w:multiLevelType w:val="multilevel"/>
    <w:tmpl w:val="3782CDD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612A89"/>
    <w:multiLevelType w:val="hybridMultilevel"/>
    <w:tmpl w:val="2BD4AF36"/>
    <w:lvl w:ilvl="0" w:tplc="471C762E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607D2D"/>
    <w:multiLevelType w:val="hybridMultilevel"/>
    <w:tmpl w:val="09A4554E"/>
    <w:lvl w:ilvl="0" w:tplc="D9FAD1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16685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63C738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3EE7B3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4224A3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9E0E86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5365B1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B100E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F7048D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3F6FC5"/>
    <w:multiLevelType w:val="multilevel"/>
    <w:tmpl w:val="328EC1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886A8F"/>
    <w:multiLevelType w:val="multilevel"/>
    <w:tmpl w:val="6B3AFF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74173A"/>
    <w:multiLevelType w:val="multilevel"/>
    <w:tmpl w:val="5A225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4CD2B8D"/>
    <w:multiLevelType w:val="multilevel"/>
    <w:tmpl w:val="01FEBB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88762C"/>
    <w:multiLevelType w:val="hybridMultilevel"/>
    <w:tmpl w:val="459CEE3C"/>
    <w:lvl w:ilvl="0" w:tplc="531CDD56">
      <w:start w:val="1"/>
      <w:numFmt w:val="lowerLetter"/>
      <w:lvlText w:val="%1)"/>
      <w:lvlJc w:val="left"/>
      <w:pPr>
        <w:ind w:left="720" w:hanging="360"/>
      </w:pPr>
    </w:lvl>
    <w:lvl w:ilvl="1" w:tplc="E2C40BA6" w:tentative="1">
      <w:start w:val="1"/>
      <w:numFmt w:val="lowerLetter"/>
      <w:lvlText w:val="%2."/>
      <w:lvlJc w:val="left"/>
      <w:pPr>
        <w:ind w:left="1440" w:hanging="360"/>
      </w:pPr>
    </w:lvl>
    <w:lvl w:ilvl="2" w:tplc="3228A7A4" w:tentative="1">
      <w:start w:val="1"/>
      <w:numFmt w:val="lowerRoman"/>
      <w:lvlText w:val="%3."/>
      <w:lvlJc w:val="right"/>
      <w:pPr>
        <w:ind w:left="2160" w:hanging="180"/>
      </w:pPr>
    </w:lvl>
    <w:lvl w:ilvl="3" w:tplc="C5D077E0" w:tentative="1">
      <w:start w:val="1"/>
      <w:numFmt w:val="decimal"/>
      <w:lvlText w:val="%4."/>
      <w:lvlJc w:val="left"/>
      <w:pPr>
        <w:ind w:left="2880" w:hanging="360"/>
      </w:pPr>
    </w:lvl>
    <w:lvl w:ilvl="4" w:tplc="34B692F8" w:tentative="1">
      <w:start w:val="1"/>
      <w:numFmt w:val="lowerLetter"/>
      <w:lvlText w:val="%5."/>
      <w:lvlJc w:val="left"/>
      <w:pPr>
        <w:ind w:left="3600" w:hanging="360"/>
      </w:pPr>
    </w:lvl>
    <w:lvl w:ilvl="5" w:tplc="E2BAB2EA" w:tentative="1">
      <w:start w:val="1"/>
      <w:numFmt w:val="lowerRoman"/>
      <w:lvlText w:val="%6."/>
      <w:lvlJc w:val="right"/>
      <w:pPr>
        <w:ind w:left="4320" w:hanging="180"/>
      </w:pPr>
    </w:lvl>
    <w:lvl w:ilvl="6" w:tplc="3E30149A" w:tentative="1">
      <w:start w:val="1"/>
      <w:numFmt w:val="decimal"/>
      <w:lvlText w:val="%7."/>
      <w:lvlJc w:val="left"/>
      <w:pPr>
        <w:ind w:left="5040" w:hanging="360"/>
      </w:pPr>
    </w:lvl>
    <w:lvl w:ilvl="7" w:tplc="B9568AC0" w:tentative="1">
      <w:start w:val="1"/>
      <w:numFmt w:val="lowerLetter"/>
      <w:lvlText w:val="%8."/>
      <w:lvlJc w:val="left"/>
      <w:pPr>
        <w:ind w:left="5760" w:hanging="360"/>
      </w:pPr>
    </w:lvl>
    <w:lvl w:ilvl="8" w:tplc="5874C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5CBE"/>
    <w:multiLevelType w:val="hybridMultilevel"/>
    <w:tmpl w:val="022EE1DC"/>
    <w:lvl w:ilvl="0" w:tplc="CA5A8F72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C689BE" w:tentative="1">
      <w:start w:val="1"/>
      <w:numFmt w:val="lowerLetter"/>
      <w:lvlText w:val="%2."/>
      <w:lvlJc w:val="left"/>
      <w:pPr>
        <w:ind w:left="1440" w:hanging="360"/>
      </w:pPr>
    </w:lvl>
    <w:lvl w:ilvl="2" w:tplc="BB9A757A" w:tentative="1">
      <w:start w:val="1"/>
      <w:numFmt w:val="lowerRoman"/>
      <w:lvlText w:val="%3."/>
      <w:lvlJc w:val="right"/>
      <w:pPr>
        <w:ind w:left="2160" w:hanging="180"/>
      </w:pPr>
    </w:lvl>
    <w:lvl w:ilvl="3" w:tplc="2592BC5E" w:tentative="1">
      <w:start w:val="1"/>
      <w:numFmt w:val="decimal"/>
      <w:lvlText w:val="%4."/>
      <w:lvlJc w:val="left"/>
      <w:pPr>
        <w:ind w:left="2880" w:hanging="360"/>
      </w:pPr>
    </w:lvl>
    <w:lvl w:ilvl="4" w:tplc="0D7499EE" w:tentative="1">
      <w:start w:val="1"/>
      <w:numFmt w:val="lowerLetter"/>
      <w:lvlText w:val="%5."/>
      <w:lvlJc w:val="left"/>
      <w:pPr>
        <w:ind w:left="3600" w:hanging="360"/>
      </w:pPr>
    </w:lvl>
    <w:lvl w:ilvl="5" w:tplc="E66679A2" w:tentative="1">
      <w:start w:val="1"/>
      <w:numFmt w:val="lowerRoman"/>
      <w:lvlText w:val="%6."/>
      <w:lvlJc w:val="right"/>
      <w:pPr>
        <w:ind w:left="4320" w:hanging="180"/>
      </w:pPr>
    </w:lvl>
    <w:lvl w:ilvl="6" w:tplc="D1A0A4B2" w:tentative="1">
      <w:start w:val="1"/>
      <w:numFmt w:val="decimal"/>
      <w:lvlText w:val="%7."/>
      <w:lvlJc w:val="left"/>
      <w:pPr>
        <w:ind w:left="5040" w:hanging="360"/>
      </w:pPr>
    </w:lvl>
    <w:lvl w:ilvl="7" w:tplc="D8B41C8C" w:tentative="1">
      <w:start w:val="1"/>
      <w:numFmt w:val="lowerLetter"/>
      <w:lvlText w:val="%8."/>
      <w:lvlJc w:val="left"/>
      <w:pPr>
        <w:ind w:left="5760" w:hanging="360"/>
      </w:pPr>
    </w:lvl>
    <w:lvl w:ilvl="8" w:tplc="A22E4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438BF"/>
    <w:multiLevelType w:val="multilevel"/>
    <w:tmpl w:val="84E0E5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BF3505"/>
    <w:multiLevelType w:val="hybridMultilevel"/>
    <w:tmpl w:val="00180E32"/>
    <w:lvl w:ilvl="0" w:tplc="4F968D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DD44FE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0BA989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26E5D2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98A14A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3401DB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0B0C35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3E4765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4025A0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59933FB"/>
    <w:multiLevelType w:val="multilevel"/>
    <w:tmpl w:val="C99CE16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3E001A"/>
    <w:multiLevelType w:val="hybridMultilevel"/>
    <w:tmpl w:val="A5A437EE"/>
    <w:lvl w:ilvl="0" w:tplc="B4D041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6E3554" w:tentative="1">
      <w:start w:val="1"/>
      <w:numFmt w:val="lowerLetter"/>
      <w:lvlText w:val="%2."/>
      <w:lvlJc w:val="left"/>
      <w:pPr>
        <w:ind w:left="1440" w:hanging="360"/>
      </w:pPr>
    </w:lvl>
    <w:lvl w:ilvl="2" w:tplc="513E11C8" w:tentative="1">
      <w:start w:val="1"/>
      <w:numFmt w:val="lowerRoman"/>
      <w:lvlText w:val="%3."/>
      <w:lvlJc w:val="right"/>
      <w:pPr>
        <w:ind w:left="2160" w:hanging="180"/>
      </w:pPr>
    </w:lvl>
    <w:lvl w:ilvl="3" w:tplc="6234CFA6" w:tentative="1">
      <w:start w:val="1"/>
      <w:numFmt w:val="decimal"/>
      <w:lvlText w:val="%4."/>
      <w:lvlJc w:val="left"/>
      <w:pPr>
        <w:ind w:left="2880" w:hanging="360"/>
      </w:pPr>
    </w:lvl>
    <w:lvl w:ilvl="4" w:tplc="CE48393E" w:tentative="1">
      <w:start w:val="1"/>
      <w:numFmt w:val="lowerLetter"/>
      <w:lvlText w:val="%5."/>
      <w:lvlJc w:val="left"/>
      <w:pPr>
        <w:ind w:left="3600" w:hanging="360"/>
      </w:pPr>
    </w:lvl>
    <w:lvl w:ilvl="5" w:tplc="68168304" w:tentative="1">
      <w:start w:val="1"/>
      <w:numFmt w:val="lowerRoman"/>
      <w:lvlText w:val="%6."/>
      <w:lvlJc w:val="right"/>
      <w:pPr>
        <w:ind w:left="4320" w:hanging="180"/>
      </w:pPr>
    </w:lvl>
    <w:lvl w:ilvl="6" w:tplc="A9F46E78" w:tentative="1">
      <w:start w:val="1"/>
      <w:numFmt w:val="decimal"/>
      <w:lvlText w:val="%7."/>
      <w:lvlJc w:val="left"/>
      <w:pPr>
        <w:ind w:left="5040" w:hanging="360"/>
      </w:pPr>
    </w:lvl>
    <w:lvl w:ilvl="7" w:tplc="4A3A27EA" w:tentative="1">
      <w:start w:val="1"/>
      <w:numFmt w:val="lowerLetter"/>
      <w:lvlText w:val="%8."/>
      <w:lvlJc w:val="left"/>
      <w:pPr>
        <w:ind w:left="5760" w:hanging="360"/>
      </w:pPr>
    </w:lvl>
    <w:lvl w:ilvl="8" w:tplc="B1F45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55C02"/>
    <w:multiLevelType w:val="hybridMultilevel"/>
    <w:tmpl w:val="E2F44678"/>
    <w:lvl w:ilvl="0" w:tplc="8F5891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3ECD1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84F0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8A70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DEA88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54B0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9698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5E3A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DA83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16"/>
  </w:num>
  <w:num w:numId="13">
    <w:abstractNumId w:val="14"/>
  </w:num>
  <w:num w:numId="14">
    <w:abstractNumId w:val="6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28"/>
    <w:rsid w:val="0001779A"/>
    <w:rsid w:val="0002005D"/>
    <w:rsid w:val="00072F26"/>
    <w:rsid w:val="000F3562"/>
    <w:rsid w:val="000F6EE6"/>
    <w:rsid w:val="00107042"/>
    <w:rsid w:val="00214C3B"/>
    <w:rsid w:val="00226153"/>
    <w:rsid w:val="0029646B"/>
    <w:rsid w:val="003049ED"/>
    <w:rsid w:val="00321745"/>
    <w:rsid w:val="004C6C36"/>
    <w:rsid w:val="005D34F9"/>
    <w:rsid w:val="0062705E"/>
    <w:rsid w:val="006716B2"/>
    <w:rsid w:val="006A4CC8"/>
    <w:rsid w:val="006E5401"/>
    <w:rsid w:val="0072518A"/>
    <w:rsid w:val="00765A55"/>
    <w:rsid w:val="008B2BD3"/>
    <w:rsid w:val="008C7C0B"/>
    <w:rsid w:val="00911B75"/>
    <w:rsid w:val="009718F8"/>
    <w:rsid w:val="00977269"/>
    <w:rsid w:val="00A2309A"/>
    <w:rsid w:val="00A61C3F"/>
    <w:rsid w:val="00AA3863"/>
    <w:rsid w:val="00AC0417"/>
    <w:rsid w:val="00B52D26"/>
    <w:rsid w:val="00C01743"/>
    <w:rsid w:val="00C554B2"/>
    <w:rsid w:val="00CE5BA1"/>
    <w:rsid w:val="00D83C48"/>
    <w:rsid w:val="00DE6B7F"/>
    <w:rsid w:val="00DF7D02"/>
    <w:rsid w:val="00E1758E"/>
    <w:rsid w:val="00ED3E7B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30989"/>
  <w15:docId w15:val="{579C61A9-D4E5-46AE-958E-A566EB95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042"/>
    <w:pPr>
      <w:spacing w:before="240" w:after="0"/>
    </w:pPr>
    <w:rPr>
      <w:rFonts w:ascii="Century Gothic" w:hAnsi="Century Gothic" w:cstheme="minorHAnsi"/>
      <w:color w:val="0F243E" w:themeColor="text2" w:themeShade="80"/>
    </w:rPr>
  </w:style>
  <w:style w:type="paragraph" w:styleId="Heading1">
    <w:name w:val="heading 1"/>
    <w:basedOn w:val="Normal"/>
    <w:next w:val="Normal"/>
    <w:link w:val="Heading1Char"/>
    <w:qFormat/>
    <w:rsid w:val="00107042"/>
    <w:pPr>
      <w:keepNext/>
      <w:keepLines/>
      <w:numPr>
        <w:numId w:val="18"/>
      </w:numPr>
      <w:spacing w:line="240" w:lineRule="auto"/>
      <w:outlineLvl w:val="0"/>
    </w:pPr>
    <w:rPr>
      <w:rFonts w:eastAsiaTheme="majorEastAsia" w:cstheme="majorBidi"/>
      <w:color w:val="244061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8F8"/>
    <w:pPr>
      <w:keepNext/>
      <w:keepLines/>
      <w:spacing w:before="40"/>
      <w:outlineLvl w:val="1"/>
    </w:pPr>
    <w:rPr>
      <w:rFonts w:eastAsiaTheme="majorEastAsia" w:cstheme="majorBidi"/>
      <w:color w:val="24406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07042"/>
    <w:pPr>
      <w:keepNext/>
      <w:keepLines/>
      <w:spacing w:before="40" w:line="240" w:lineRule="auto"/>
      <w:outlineLvl w:val="2"/>
    </w:pPr>
    <w:rPr>
      <w:rFonts w:eastAsiaTheme="majorEastAsia" w:cstheme="majorBidi"/>
      <w:color w:val="244061" w:themeColor="accent1" w:themeShade="8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222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42228"/>
  </w:style>
  <w:style w:type="paragraph" w:styleId="Footer">
    <w:name w:val="footer"/>
    <w:basedOn w:val="Normal"/>
    <w:link w:val="FooterChar"/>
    <w:uiPriority w:val="99"/>
    <w:unhideWhenUsed/>
    <w:rsid w:val="00F4222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28"/>
  </w:style>
  <w:style w:type="paragraph" w:styleId="BalloonText">
    <w:name w:val="Balloon Text"/>
    <w:basedOn w:val="Normal"/>
    <w:link w:val="BalloonTextChar"/>
    <w:uiPriority w:val="99"/>
    <w:semiHidden/>
    <w:unhideWhenUsed/>
    <w:rsid w:val="00F422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7042"/>
    <w:rPr>
      <w:rFonts w:ascii="Century Gothic" w:eastAsiaTheme="majorEastAsia" w:hAnsi="Century Gothic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107042"/>
    <w:rPr>
      <w:rFonts w:ascii="Century Gothic" w:eastAsiaTheme="majorEastAsia" w:hAnsi="Century Gothic" w:cstheme="majorBidi"/>
      <w:color w:val="244061" w:themeColor="accent1" w:themeShade="8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9646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9646B"/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Open Sans" w:eastAsia="Open Sans" w:hAnsi="Open Sans" w:cs="Open Sans"/>
      <w:color w:val="43475B"/>
      <w:lang w:val="uz-Cyrl-UZ"/>
    </w:rPr>
  </w:style>
  <w:style w:type="paragraph" w:styleId="Title">
    <w:name w:val="Title"/>
    <w:basedOn w:val="Normal1"/>
    <w:next w:val="Normal1"/>
    <w:link w:val="TitleChar"/>
    <w:qFormat/>
    <w:rsid w:val="0001779A"/>
    <w:pPr>
      <w:spacing w:before="480" w:after="120"/>
    </w:pPr>
    <w:rPr>
      <w:rFonts w:ascii="Raleway" w:eastAsia="Raleway" w:hAnsi="Raleway" w:cs="Raleway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01779A"/>
    <w:rPr>
      <w:rFonts w:ascii="Raleway" w:eastAsia="Raleway" w:hAnsi="Raleway" w:cs="Raleway"/>
      <w:color w:val="43475B"/>
      <w:sz w:val="60"/>
      <w:szCs w:val="60"/>
      <w:lang w:val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9718F8"/>
    <w:rPr>
      <w:rFonts w:ascii="Century Gothic" w:eastAsiaTheme="majorEastAsia" w:hAnsi="Century Gothic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83C4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83C48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83C48"/>
    <w:pPr>
      <w:spacing w:before="120"/>
      <w:ind w:left="220"/>
    </w:pPr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D83C48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718F8"/>
    <w:pPr>
      <w:spacing w:before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2518A"/>
    <w:pPr>
      <w:spacing w:before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2518A"/>
    <w:pPr>
      <w:spacing w:before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2518A"/>
    <w:pPr>
      <w:spacing w:before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2518A"/>
    <w:pPr>
      <w:spacing w:before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2518A"/>
    <w:pPr>
      <w:spacing w:before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2518A"/>
    <w:pPr>
      <w:spacing w:before="0"/>
      <w:ind w:left="1760"/>
    </w:pPr>
    <w:rPr>
      <w:rFonts w:asciiTheme="minorHAnsi" w:hAnsiTheme="minorHAnsi"/>
      <w:sz w:val="20"/>
      <w:szCs w:val="20"/>
    </w:rPr>
  </w:style>
  <w:style w:type="paragraph" w:styleId="NoSpacing">
    <w:name w:val="No Spacing"/>
    <w:uiPriority w:val="1"/>
    <w:qFormat/>
    <w:rsid w:val="00214C3B"/>
    <w:pPr>
      <w:spacing w:after="0" w:line="240" w:lineRule="auto"/>
    </w:pPr>
    <w:rPr>
      <w:rFonts w:ascii="Century Gothic" w:hAnsi="Century Gothic" w:cstheme="minorHAnsi"/>
      <w:color w:val="0F243E" w:themeColor="tex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61F8-E66C-4E62-864B-AC095D5D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GTOHON</dc:creator>
  <cp:lastModifiedBy>Iman Malaka</cp:lastModifiedBy>
  <cp:revision>2</cp:revision>
  <cp:lastPrinted>2020-12-17T12:59:00Z</cp:lastPrinted>
  <dcterms:created xsi:type="dcterms:W3CDTF">2021-01-12T20:57:00Z</dcterms:created>
  <dcterms:modified xsi:type="dcterms:W3CDTF">2021-01-12T20:57:00Z</dcterms:modified>
</cp:coreProperties>
</file>