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561825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15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427B82"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20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306D0">
              <w:rPr>
                <w:rFonts w:ascii="Maiandra GD" w:hAnsi="Maiandra GD"/>
                <w:b/>
                <w:sz w:val="24"/>
                <w:szCs w:val="24"/>
              </w:rPr>
              <w:t>0</w:t>
            </w:r>
            <w:r w:rsidR="00427B82">
              <w:rPr>
                <w:rFonts w:ascii="Maiandra GD" w:hAnsi="Maiandra GD"/>
                <w:b/>
                <w:sz w:val="24"/>
                <w:szCs w:val="24"/>
              </w:rPr>
              <w:t>7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proofErr w:type="spellStart"/>
            <w:r w:rsidR="005651E5">
              <w:rPr>
                <w:rFonts w:ascii="Maiandra GD" w:hAnsi="Maiandra GD" w:cs="Segoe Print"/>
                <w:lang w:eastAsia="fr-FR"/>
              </w:rPr>
              <w:t>Hermes</w:t>
            </w:r>
            <w:proofErr w:type="spellEnd"/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5651E5" w:rsidRDefault="005651E5" w:rsidP="00DB71B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Pr="00A4034D">
              <w:rPr>
                <w:rFonts w:ascii="Maiandra GD" w:hAnsi="Maiandra GD" w:cs="Segoe Print"/>
                <w:sz w:val="24"/>
                <w:szCs w:val="24"/>
                <w:lang w:eastAsia="fr-FR"/>
              </w:rPr>
              <w:t>Basculement agent</w:t>
            </w:r>
          </w:p>
          <w:p w:rsidR="00561825" w:rsidRDefault="0052703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-Ajout au groupe de supervision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-Désactivation de log</w:t>
            </w:r>
          </w:p>
          <w:p w:rsidR="00706479" w:rsidRDefault="0070647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-Affectation campagne</w:t>
            </w:r>
          </w:p>
          <w:p w:rsidR="00561825" w:rsidRPr="00A4034D" w:rsidRDefault="0056182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811A7F" w:rsidRDefault="00811A7F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7D352F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706479">
              <w:rPr>
                <w:rFonts w:ascii="Maiandra GD" w:hAnsi="Maiandra GD"/>
                <w:sz w:val="24"/>
                <w:szCs w:val="24"/>
              </w:rPr>
              <w:t xml:space="preserve">Réinitialisation mot de passe </w:t>
            </w:r>
            <w:proofErr w:type="spellStart"/>
            <w:r w:rsidR="00706479">
              <w:rPr>
                <w:rFonts w:ascii="Maiandra GD" w:hAnsi="Maiandra GD"/>
                <w:sz w:val="24"/>
                <w:szCs w:val="24"/>
              </w:rPr>
              <w:t>Fluvio</w:t>
            </w:r>
            <w:proofErr w:type="spellEnd"/>
            <w:r w:rsidR="00561825">
              <w:rPr>
                <w:rFonts w:ascii="Maiandra GD" w:hAnsi="Maiandra GD"/>
                <w:sz w:val="24"/>
                <w:szCs w:val="24"/>
              </w:rPr>
              <w:t xml:space="preserve"> et changement d’@</w:t>
            </w:r>
            <w:proofErr w:type="spellStart"/>
            <w:r w:rsidR="00561825">
              <w:rPr>
                <w:rFonts w:ascii="Maiandra GD" w:hAnsi="Maiandra GD"/>
                <w:sz w:val="24"/>
                <w:szCs w:val="24"/>
              </w:rPr>
              <w:t>ip</w:t>
            </w:r>
            <w:proofErr w:type="spellEnd"/>
            <w:r w:rsidR="00561825">
              <w:rPr>
                <w:rFonts w:ascii="Maiandra GD" w:hAnsi="Maiandra GD"/>
                <w:sz w:val="24"/>
                <w:szCs w:val="24"/>
              </w:rPr>
              <w:t xml:space="preserve"> sur le proxy.</w:t>
            </w:r>
          </w:p>
          <w:p w:rsidR="000306D0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561825">
              <w:rPr>
                <w:rFonts w:ascii="Maiandra GD" w:hAnsi="Maiandra GD"/>
                <w:sz w:val="24"/>
                <w:szCs w:val="24"/>
              </w:rPr>
              <w:t xml:space="preserve">Optimisation du poste de </w:t>
            </w:r>
            <w:proofErr w:type="spellStart"/>
            <w:r w:rsidR="00561825">
              <w:rPr>
                <w:rFonts w:ascii="Maiandra GD" w:hAnsi="Maiandra GD"/>
                <w:sz w:val="24"/>
                <w:szCs w:val="24"/>
              </w:rPr>
              <w:t>mr</w:t>
            </w:r>
            <w:proofErr w:type="spellEnd"/>
            <w:r w:rsidR="00561825">
              <w:rPr>
                <w:rFonts w:ascii="Maiandra GD" w:hAnsi="Maiandra GD"/>
                <w:sz w:val="24"/>
                <w:szCs w:val="24"/>
              </w:rPr>
              <w:t xml:space="preserve"> Hippolyte (nettoyage du poste, et augmentation des RAM à 4gb)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427B82">
              <w:rPr>
                <w:rFonts w:ascii="Maiandra GD" w:hAnsi="Maiandra GD"/>
                <w:sz w:val="24"/>
                <w:szCs w:val="24"/>
              </w:rPr>
              <w:t>Connexion des lecteurs</w:t>
            </w:r>
            <w:r w:rsidR="00561825">
              <w:rPr>
                <w:rFonts w:ascii="Maiandra GD" w:hAnsi="Maiandra GD"/>
                <w:sz w:val="24"/>
                <w:szCs w:val="24"/>
              </w:rPr>
              <w:t xml:space="preserve"> pour qualité, intérim, Chrystelle et TL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27B82">
              <w:rPr>
                <w:rFonts w:ascii="Maiandra GD" w:hAnsi="Maiandra GD"/>
                <w:sz w:val="24"/>
                <w:szCs w:val="24"/>
              </w:rPr>
              <w:t>Assistance pour souci</w:t>
            </w:r>
            <w:r w:rsidR="00561825">
              <w:rPr>
                <w:rFonts w:ascii="Maiandra GD" w:hAnsi="Maiandra GD"/>
                <w:sz w:val="24"/>
                <w:szCs w:val="24"/>
              </w:rPr>
              <w:t xml:space="preserve"> lien à l’envoie des SMS au 111 (redémarrage des serveurs de productions)</w:t>
            </w:r>
          </w:p>
          <w:p w:rsidR="00427B82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-Supervision des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ping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pour </w:t>
            </w:r>
            <w:r w:rsidR="00556213">
              <w:rPr>
                <w:rFonts w:ascii="Maiandra GD" w:hAnsi="Maiandra GD"/>
                <w:sz w:val="24"/>
                <w:szCs w:val="24"/>
              </w:rPr>
              <w:t>les micro-</w:t>
            </w:r>
            <w:r w:rsidR="009F2A87">
              <w:rPr>
                <w:rFonts w:ascii="Maiandra GD" w:hAnsi="Maiandra GD"/>
                <w:sz w:val="24"/>
                <w:szCs w:val="24"/>
              </w:rPr>
              <w:t>déconnexions</w:t>
            </w:r>
          </w:p>
          <w:p w:rsidR="00FB405E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9F2A87">
              <w:rPr>
                <w:rFonts w:ascii="Maiandra GD" w:hAnsi="Maiandra GD"/>
                <w:sz w:val="24"/>
                <w:szCs w:val="24"/>
              </w:rPr>
              <w:t>Mise à jour de la badgeuse</w:t>
            </w:r>
          </w:p>
          <w:p w:rsidR="002C1A95" w:rsidRPr="00305446" w:rsidRDefault="00514F14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-Mise à jour fichier base de </w:t>
            </w:r>
            <w:r w:rsidR="00E11CEE">
              <w:rPr>
                <w:rFonts w:ascii="Maiandra GD" w:hAnsi="Maiandra GD"/>
                <w:sz w:val="24"/>
                <w:szCs w:val="24"/>
              </w:rPr>
              <w:t>données</w:t>
            </w:r>
            <w:r>
              <w:rPr>
                <w:rFonts w:ascii="Maiandra GD" w:hAnsi="Maiandra GD"/>
                <w:sz w:val="24"/>
                <w:szCs w:val="24"/>
              </w:rPr>
              <w:t xml:space="preserve"> DSI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E0150B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Les lecteurs se déconnectent après redémarrage</w:t>
            </w:r>
            <w:bookmarkStart w:id="0" w:name="_GoBack"/>
            <w:bookmarkEnd w:id="0"/>
            <w:r>
              <w:rPr>
                <w:rFonts w:ascii="Maiandra GD" w:hAnsi="Maiandra GD"/>
                <w:sz w:val="20"/>
                <w:szCs w:val="20"/>
              </w:rPr>
              <w:t xml:space="preserve"> des postes.</w:t>
            </w: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561825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Installation Windows 10 et MAJ pour test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BF" w:rsidRDefault="00D95DBF" w:rsidP="00E248EC">
      <w:pPr>
        <w:spacing w:after="0" w:line="240" w:lineRule="auto"/>
      </w:pPr>
      <w:r>
        <w:separator/>
      </w:r>
    </w:p>
  </w:endnote>
  <w:endnote w:type="continuationSeparator" w:id="0">
    <w:p w:rsidR="00D95DBF" w:rsidRDefault="00D95DB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BF" w:rsidRDefault="00D95DBF" w:rsidP="00E248EC">
      <w:pPr>
        <w:spacing w:after="0" w:line="240" w:lineRule="auto"/>
      </w:pPr>
      <w:r>
        <w:separator/>
      </w:r>
    </w:p>
  </w:footnote>
  <w:footnote w:type="continuationSeparator" w:id="0">
    <w:p w:rsidR="00D95DBF" w:rsidRDefault="00D95DB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522D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3C710-A574-4A5D-8A39-25563F38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1699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96</cp:revision>
  <dcterms:created xsi:type="dcterms:W3CDTF">2018-08-02T12:52:00Z</dcterms:created>
  <dcterms:modified xsi:type="dcterms:W3CDTF">2019-07-20T13:21:00Z</dcterms:modified>
</cp:coreProperties>
</file>