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1614F952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30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6E8D30A6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 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>(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44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minutes)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48F9EC18" w14:textId="06A38E7B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</w:t>
      </w:r>
      <w:r w:rsidR="004A2F65"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271C1A91" w:rsidR="00652D96" w:rsidRPr="00902A7D" w:rsidRDefault="00347F5F" w:rsidP="00F20E0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bookmarkStart w:id="0" w:name="_GoBack"/>
      <w:bookmarkEnd w:id="0"/>
      <w:r w:rsidRPr="00902A7D">
        <w:rPr>
          <w:rFonts w:ascii="Eras Medium ITC" w:hAnsi="Eras Medium ITC" w:cs="Arial"/>
          <w:b/>
          <w:sz w:val="28"/>
          <w:szCs w:val="24"/>
        </w:rPr>
        <w:t>Supervision des campagnes en reception et les circuits d’appels (Licences Voix)</w:t>
      </w:r>
      <w:r w:rsidR="00D1370F" w:rsidRPr="00902A7D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25BE" w14:textId="77777777" w:rsidR="00DF4A00" w:rsidRDefault="00DF4A00" w:rsidP="000D1A84">
      <w:pPr>
        <w:spacing w:after="0" w:line="240" w:lineRule="auto"/>
      </w:pPr>
      <w:r>
        <w:separator/>
      </w:r>
    </w:p>
  </w:endnote>
  <w:endnote w:type="continuationSeparator" w:id="0">
    <w:p w14:paraId="23C1AF2A" w14:textId="77777777" w:rsidR="00DF4A00" w:rsidRDefault="00DF4A00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881F" w14:textId="77777777" w:rsidR="00DF4A00" w:rsidRDefault="00DF4A00" w:rsidP="000D1A84">
      <w:pPr>
        <w:spacing w:after="0" w:line="240" w:lineRule="auto"/>
      </w:pPr>
      <w:r>
        <w:separator/>
      </w:r>
    </w:p>
  </w:footnote>
  <w:footnote w:type="continuationSeparator" w:id="0">
    <w:p w14:paraId="14EE3C81" w14:textId="77777777" w:rsidR="00DF4A00" w:rsidRDefault="00DF4A00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DF4A00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clip_image001"/>
      </v:shape>
    </w:pict>
  </w:numPicBullet>
  <w:numPicBullet w:numPicBulletId="1">
    <w:pict>
      <v:shape id="_x0000_i1039" type="#_x0000_t75" style="width:411.6pt;height:397.8pt" o:bullet="t">
        <v:imagedata r:id="rId2" o:title="clip_image003"/>
      </v:shape>
    </w:pict>
  </w:numPicBullet>
  <w:numPicBullet w:numPicBulletId="2">
    <w:pict>
      <v:shape id="_x0000_i1040" type="#_x0000_t75" style="width:9.6pt;height:9.6pt" o:bullet="t">
        <v:imagedata r:id="rId3" o:title="BD21298_"/>
      </v:shape>
    </w:pict>
  </w:numPicBullet>
  <w:numPicBullet w:numPicBulletId="3">
    <w:pict>
      <v:shape id="_x0000_i104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29C5-1382-46D9-BC12-C3C5B3DD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2019-07-29T17:55:00Z</dcterms:created>
  <dcterms:modified xsi:type="dcterms:W3CDTF">2019-07-29T17:57:00Z</dcterms:modified>
</cp:coreProperties>
</file>