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4946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1F5B1F">
              <w:rPr>
                <w:b/>
                <w:sz w:val="24"/>
                <w:szCs w:val="24"/>
              </w:rPr>
              <w:t>01</w:t>
            </w:r>
            <w:r w:rsidR="00B2434B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1F5B1F">
              <w:rPr>
                <w:b/>
                <w:sz w:val="24"/>
                <w:szCs w:val="24"/>
              </w:rPr>
              <w:t>07</w:t>
            </w:r>
            <w:r w:rsidR="00505B62">
              <w:rPr>
                <w:b/>
                <w:sz w:val="24"/>
                <w:szCs w:val="24"/>
              </w:rPr>
              <w:t xml:space="preserve"> </w:t>
            </w:r>
            <w:r w:rsidR="0049462F">
              <w:rPr>
                <w:b/>
                <w:sz w:val="24"/>
                <w:szCs w:val="24"/>
              </w:rPr>
              <w:t>octobre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  <w:bookmarkStart w:id="0" w:name="_GoBack"/>
            <w:bookmarkEnd w:id="0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F020F0" w:rsidRDefault="001F5B1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de la </w:t>
            </w:r>
            <w:proofErr w:type="spellStart"/>
            <w:r>
              <w:rPr>
                <w:rFonts w:ascii="Cambria" w:hAnsi="Cambria"/>
              </w:rPr>
              <w:t>prodution</w:t>
            </w:r>
            <w:proofErr w:type="spellEnd"/>
          </w:p>
          <w:p w:rsidR="001F5B1F" w:rsidRDefault="001F5B1F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Suivi </w:t>
            </w:r>
            <w:r w:rsidR="009C75F9">
              <w:rPr>
                <w:rFonts w:ascii="Cambria" w:hAnsi="Cambria"/>
              </w:rPr>
              <w:t>des déconnexions</w:t>
            </w:r>
            <w:r>
              <w:rPr>
                <w:rFonts w:ascii="Cambria" w:hAnsi="Cambria"/>
              </w:rPr>
              <w:t xml:space="preserve"> MTN </w:t>
            </w:r>
          </w:p>
          <w:p w:rsidR="009C75F9" w:rsidRDefault="009C75F9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Suivi de la plateforme SMS</w:t>
            </w:r>
          </w:p>
          <w:p w:rsidR="009C75F9" w:rsidRPr="001F5B1F" w:rsidRDefault="009C75F9" w:rsidP="001F5B1F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Production Moov 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3175B1" w:rsidRDefault="003175B1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2D0978" w:rsidRDefault="002D0978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F4557D" w:rsidP="007F740A">
            <w:pPr>
              <w:spacing w:after="0" w:line="240" w:lineRule="auto"/>
            </w:pPr>
          </w:p>
          <w:p w:rsidR="00F4557D" w:rsidRDefault="005C7B6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Création des </w:t>
            </w:r>
            <w:proofErr w:type="gramStart"/>
            <w:r>
              <w:rPr>
                <w:rFonts w:ascii="Cambria" w:hAnsi="Cambria"/>
                <w:szCs w:val="20"/>
              </w:rPr>
              <w:t>log</w:t>
            </w:r>
            <w:proofErr w:type="gramEnd"/>
            <w:r>
              <w:rPr>
                <w:rFonts w:ascii="Cambria" w:hAnsi="Cambria"/>
                <w:szCs w:val="20"/>
              </w:rPr>
              <w:t xml:space="preserve"> agents et </w:t>
            </w:r>
            <w:proofErr w:type="spellStart"/>
            <w:r>
              <w:rPr>
                <w:rFonts w:ascii="Cambria" w:hAnsi="Cambria"/>
                <w:szCs w:val="20"/>
              </w:rPr>
              <w:t>crétion</w:t>
            </w:r>
            <w:proofErr w:type="spellEnd"/>
            <w:r>
              <w:rPr>
                <w:rFonts w:ascii="Cambria" w:hAnsi="Cambria"/>
                <w:szCs w:val="20"/>
              </w:rPr>
              <w:t xml:space="preserve"> d’un script agent pour la guinée </w:t>
            </w:r>
            <w:proofErr w:type="spellStart"/>
            <w:r>
              <w:rPr>
                <w:rFonts w:ascii="Cambria" w:hAnsi="Cambria"/>
                <w:szCs w:val="20"/>
              </w:rPr>
              <w:t>conakry</w:t>
            </w:r>
            <w:proofErr w:type="spellEnd"/>
          </w:p>
          <w:p w:rsidR="005C7B6D" w:rsidRDefault="005C7B6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C7B6D" w:rsidRDefault="005C7B6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Configuration des adresses OVH respectivement pour les campagnes </w:t>
            </w:r>
            <w:proofErr w:type="spellStart"/>
            <w:r>
              <w:rPr>
                <w:rFonts w:ascii="Cambria" w:hAnsi="Cambria"/>
                <w:szCs w:val="20"/>
              </w:rPr>
              <w:t>mymtn</w:t>
            </w:r>
            <w:proofErr w:type="spellEnd"/>
            <w:r>
              <w:rPr>
                <w:rFonts w:ascii="Cambria" w:hAnsi="Cambria"/>
                <w:szCs w:val="20"/>
              </w:rPr>
              <w:t xml:space="preserve"> et </w:t>
            </w:r>
            <w:proofErr w:type="spellStart"/>
            <w:r>
              <w:rPr>
                <w:rFonts w:ascii="Cambria" w:hAnsi="Cambria"/>
                <w:szCs w:val="20"/>
              </w:rPr>
              <w:t>emailing</w:t>
            </w:r>
            <w:proofErr w:type="spellEnd"/>
            <w:r>
              <w:rPr>
                <w:rFonts w:ascii="Cambria" w:hAnsi="Cambria"/>
                <w:szCs w:val="20"/>
              </w:rPr>
              <w:t xml:space="preserve"> dans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  <w:r>
              <w:rPr>
                <w:rFonts w:ascii="Cambria" w:hAnsi="Cambria"/>
                <w:szCs w:val="20"/>
              </w:rPr>
              <w:t xml:space="preserve"> pour la </w:t>
            </w:r>
            <w:proofErr w:type="spellStart"/>
            <w:r>
              <w:rPr>
                <w:rFonts w:ascii="Cambria" w:hAnsi="Cambria"/>
                <w:szCs w:val="20"/>
              </w:rPr>
              <w:t>reception</w:t>
            </w:r>
            <w:proofErr w:type="spellEnd"/>
          </w:p>
          <w:p w:rsidR="00F03545" w:rsidRDefault="00F0354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03545" w:rsidRDefault="00F0354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Exportation des </w:t>
            </w:r>
            <w:proofErr w:type="spellStart"/>
            <w:r>
              <w:rPr>
                <w:rFonts w:ascii="Cambria" w:hAnsi="Cambria"/>
                <w:szCs w:val="20"/>
              </w:rPr>
              <w:t>dbcall</w:t>
            </w:r>
            <w:proofErr w:type="spellEnd"/>
            <w:r>
              <w:rPr>
                <w:rFonts w:ascii="Cambria" w:hAnsi="Cambria"/>
                <w:szCs w:val="20"/>
              </w:rPr>
              <w:t xml:space="preserve"> pour </w:t>
            </w:r>
            <w:r w:rsidR="00B83A5B">
              <w:rPr>
                <w:rFonts w:ascii="Cambria" w:hAnsi="Cambria"/>
                <w:szCs w:val="20"/>
              </w:rPr>
              <w:t>les campagnes recrutement,</w:t>
            </w:r>
            <w:r>
              <w:rPr>
                <w:rFonts w:ascii="Cambria" w:hAnsi="Cambria"/>
                <w:szCs w:val="20"/>
              </w:rPr>
              <w:t xml:space="preserve"> MTN business</w:t>
            </w:r>
            <w:r w:rsidR="00B83A5B">
              <w:rPr>
                <w:rFonts w:ascii="Cambria" w:hAnsi="Cambria"/>
                <w:szCs w:val="20"/>
              </w:rPr>
              <w:t xml:space="preserve"> et </w:t>
            </w:r>
            <w:proofErr w:type="spellStart"/>
            <w:r w:rsidR="00B83A5B">
              <w:rPr>
                <w:rFonts w:ascii="Cambria" w:hAnsi="Cambria"/>
                <w:szCs w:val="20"/>
              </w:rPr>
              <w:t>fty</w:t>
            </w:r>
            <w:proofErr w:type="spellEnd"/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 w:rsidR="00B83A5B" w:rsidRDefault="00B83A5B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4557D" w:rsidRDefault="00F4557D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  <w:p w:rsidR="00440BED" w:rsidRPr="00F4557D" w:rsidRDefault="00440BED" w:rsidP="0040091E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75728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5C7B6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Pr="00814921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105F07" w:rsidRDefault="00105F07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9F1B2F" w:rsidRDefault="009F1B2F" w:rsidP="009F1B2F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A775E5" w:rsidRDefault="00A775E5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757280" w:rsidRDefault="009C75F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Exportation </w:t>
            </w:r>
            <w:proofErr w:type="spellStart"/>
            <w:r>
              <w:rPr>
                <w:rFonts w:ascii="Cambria" w:hAnsi="Cambria"/>
                <w:szCs w:val="20"/>
              </w:rPr>
              <w:t>dbcall</w:t>
            </w:r>
            <w:proofErr w:type="spellEnd"/>
            <w:r>
              <w:rPr>
                <w:rFonts w:ascii="Cambria" w:hAnsi="Cambria"/>
                <w:szCs w:val="20"/>
              </w:rPr>
              <w:t xml:space="preserve"> pour Faras en côte d’ivoire </w:t>
            </w:r>
          </w:p>
          <w:p w:rsidR="00757280" w:rsidRDefault="00757280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9C75F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Supervision des travaux sur l’onduleur pour corriger le défaut batterie qui s’affiche</w:t>
            </w:r>
            <w:r w:rsidR="00B524D1">
              <w:rPr>
                <w:rFonts w:ascii="Cambria" w:hAnsi="Cambria"/>
                <w:szCs w:val="20"/>
              </w:rPr>
              <w:t xml:space="preserve"> : le technicien dit que l’onduleur est à réinitialiser </w:t>
            </w:r>
          </w:p>
          <w:p w:rsidR="00D80619" w:rsidRDefault="00D80619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440BED" w:rsidRDefault="00440BED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Désactivation/ activation de log à la demande de la qualité </w:t>
            </w:r>
          </w:p>
          <w:p w:rsidR="00D80619" w:rsidRDefault="00D80619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du ticket de la ligne du standard de l’entreprise </w:t>
            </w:r>
          </w:p>
        </w:tc>
        <w:tc>
          <w:tcPr>
            <w:tcW w:w="3543" w:type="dxa"/>
            <w:gridSpan w:val="2"/>
          </w:tcPr>
          <w:p w:rsidR="0038416F" w:rsidRDefault="001F5B1F" w:rsidP="00B524D1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Nous avons rencontré de nombreuse micro déconnexion</w:t>
            </w:r>
            <w:r w:rsidR="009C75F9">
              <w:rPr>
                <w:rFonts w:ascii="Cambria" w:hAnsi="Cambria"/>
                <w:sz w:val="24"/>
                <w:szCs w:val="24"/>
              </w:rPr>
              <w:t xml:space="preserve"> sur la campagne MTN</w:t>
            </w:r>
            <w:r w:rsidR="00B524D1">
              <w:rPr>
                <w:rFonts w:ascii="Cambria" w:hAnsi="Cambria"/>
                <w:sz w:val="24"/>
                <w:szCs w:val="24"/>
              </w:rPr>
              <w:t xml:space="preserve"> et aussi de non réception  d’appel on avait pour message tous les téléconseiller sont en ligne</w:t>
            </w:r>
          </w:p>
          <w:p w:rsidR="00B524D1" w:rsidRDefault="00B524D1" w:rsidP="00B524D1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la plateforme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sms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bug souvent et les abonnés ne reçoivent plus les réponses. </w:t>
            </w:r>
          </w:p>
          <w:p w:rsidR="00B524D1" w:rsidRDefault="00B524D1" w:rsidP="00B524D1">
            <w:pPr>
              <w:pStyle w:val="Paragraphedeliste"/>
              <w:numPr>
                <w:ilvl w:val="0"/>
                <w:numId w:val="20"/>
              </w:numPr>
              <w:tabs>
                <w:tab w:val="left" w:pos="195"/>
              </w:tabs>
              <w:spacing w:after="12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Non </w:t>
            </w:r>
            <w:r w:rsidR="005C7B6D">
              <w:rPr>
                <w:rFonts w:ascii="Cambria" w:hAnsi="Cambria"/>
                <w:sz w:val="24"/>
                <w:szCs w:val="24"/>
              </w:rPr>
              <w:t>réception</w:t>
            </w:r>
            <w:r>
              <w:rPr>
                <w:rFonts w:ascii="Cambria" w:hAnsi="Cambria"/>
                <w:sz w:val="24"/>
                <w:szCs w:val="24"/>
              </w:rPr>
              <w:t xml:space="preserve"> d’appels pendant sensiblement 30 min </w:t>
            </w: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A775E5" w:rsidRDefault="00A775E5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5C7B6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Les conseillé reçoivent à présent les mails mais les abonnés ne reçoivent pas leur retour</w:t>
            </w: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B83A5B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Impossible d’émettre ou de recevoir un appel </w:t>
            </w: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4803" w:rsidRDefault="009C75F9" w:rsidP="009C75F9">
            <w:pPr>
              <w:pStyle w:val="Paragraphedeliste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 mails de relance ont été </w:t>
            </w:r>
            <w:r w:rsidR="00B524D1">
              <w:rPr>
                <w:sz w:val="20"/>
                <w:szCs w:val="20"/>
              </w:rPr>
              <w:t>envoyés</w:t>
            </w:r>
            <w:r>
              <w:rPr>
                <w:sz w:val="20"/>
                <w:szCs w:val="20"/>
              </w:rPr>
              <w:t xml:space="preserve"> à Boris qui est finalement venu pour une intervention avec l’assistance de son support. Le souci de non </w:t>
            </w:r>
            <w:r w:rsidR="00B524D1">
              <w:rPr>
                <w:sz w:val="20"/>
                <w:szCs w:val="20"/>
              </w:rPr>
              <w:t>réception</w:t>
            </w:r>
            <w:r>
              <w:rPr>
                <w:sz w:val="20"/>
                <w:szCs w:val="20"/>
              </w:rPr>
              <w:t xml:space="preserve"> semble résolu mais </w:t>
            </w:r>
            <w:r w:rsidR="00B524D1">
              <w:rPr>
                <w:sz w:val="20"/>
                <w:szCs w:val="20"/>
              </w:rPr>
              <w:t>les microcoupures</w:t>
            </w:r>
            <w:r>
              <w:rPr>
                <w:sz w:val="20"/>
                <w:szCs w:val="20"/>
              </w:rPr>
              <w:t xml:space="preserve"> de trafic les investigations sont toujours en cours</w:t>
            </w:r>
          </w:p>
          <w:p w:rsidR="00B524D1" w:rsidRDefault="00B524D1" w:rsidP="009C75F9">
            <w:pPr>
              <w:pStyle w:val="Paragraphedeliste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ticket est logué chez le support </w:t>
            </w:r>
            <w:proofErr w:type="spellStart"/>
            <w:r>
              <w:rPr>
                <w:sz w:val="20"/>
                <w:szCs w:val="20"/>
              </w:rPr>
              <w:t>vocalcom</w:t>
            </w:r>
            <w:proofErr w:type="spellEnd"/>
            <w:r>
              <w:rPr>
                <w:sz w:val="20"/>
                <w:szCs w:val="20"/>
              </w:rPr>
              <w:t xml:space="preserve"> paris Hicham a pris de s trace encore  le vendredi</w:t>
            </w:r>
          </w:p>
          <w:p w:rsidR="00B524D1" w:rsidRDefault="005C7B6D" w:rsidP="009C75F9">
            <w:pPr>
              <w:pStyle w:val="Paragraphedeliste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L’équipe technique </w:t>
            </w:r>
            <w:proofErr w:type="spellStart"/>
            <w:r>
              <w:rPr>
                <w:sz w:val="20"/>
                <w:szCs w:val="20"/>
              </w:rPr>
              <w:t>moov</w:t>
            </w:r>
            <w:proofErr w:type="spellEnd"/>
            <w:r>
              <w:rPr>
                <w:sz w:val="20"/>
                <w:szCs w:val="20"/>
              </w:rPr>
              <w:t xml:space="preserve"> a été contactée par mail  et le souci a été résolu. </w:t>
            </w:r>
          </w:p>
          <w:p w:rsidR="002411B0" w:rsidRPr="00F4557D" w:rsidRDefault="002411B0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</w:rPr>
            </w:pPr>
          </w:p>
          <w:p w:rsidR="00D80619" w:rsidRDefault="00D80619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40091E" w:rsidRDefault="0040091E" w:rsidP="002411B0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40091E" w:rsidRDefault="00B83A5B" w:rsidP="002411B0">
            <w:pPr>
              <w:pStyle w:val="Paragraphedeliste"/>
              <w:ind w:left="0"/>
            </w:pPr>
            <w:r>
              <w:lastRenderedPageBreak/>
              <w:t xml:space="preserve">La </w:t>
            </w:r>
            <w:proofErr w:type="spellStart"/>
            <w:r>
              <w:t>creation</w:t>
            </w:r>
            <w:proofErr w:type="spellEnd"/>
            <w:r>
              <w:t xml:space="preserve"> de log est déjà fait et le mail envoyé a ange marceau le script en cours.</w:t>
            </w: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40091E" w:rsidP="002411B0">
            <w:pPr>
              <w:pStyle w:val="Paragraphedeliste"/>
              <w:ind w:left="0"/>
            </w:pPr>
          </w:p>
          <w:p w:rsidR="0040091E" w:rsidRDefault="005C7B6D" w:rsidP="002411B0">
            <w:pPr>
              <w:pStyle w:val="Paragraphedeliste"/>
              <w:ind w:left="0"/>
            </w:pPr>
            <w:r>
              <w:t>Le souci est en cours de résolution</w:t>
            </w: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Default="00B83A5B" w:rsidP="002411B0">
            <w:pPr>
              <w:pStyle w:val="Paragraphedeliste"/>
              <w:ind w:left="0"/>
            </w:pPr>
            <w:r>
              <w:t xml:space="preserve">Le ticket a été logué auprès de Benin télécom </w:t>
            </w:r>
          </w:p>
          <w:p w:rsidR="00440BED" w:rsidRDefault="00440BED" w:rsidP="002411B0">
            <w:pPr>
              <w:pStyle w:val="Paragraphedeliste"/>
              <w:ind w:left="0"/>
            </w:pPr>
          </w:p>
          <w:p w:rsidR="00440BED" w:rsidRPr="00590176" w:rsidRDefault="00B83A5B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Espace serveur insuffisant pour contenir des enregistrement sur plus de 2 </w:t>
            </w:r>
            <w:proofErr w:type="gramStart"/>
            <w:r>
              <w:rPr>
                <w:sz w:val="20"/>
                <w:szCs w:val="20"/>
              </w:rPr>
              <w:t>mois .</w:t>
            </w:r>
            <w:proofErr w:type="gramEnd"/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Nettoyage de l’espace sur </w:t>
            </w:r>
            <w:r w:rsidR="005B365E">
              <w:rPr>
                <w:rFonts w:ascii="Cambria" w:hAnsi="Cambria"/>
              </w:rPr>
              <w:t>les serveurs</w:t>
            </w:r>
            <w:r w:rsidR="002D4421">
              <w:rPr>
                <w:rFonts w:ascii="Cambria" w:hAnsi="Cambria"/>
              </w:rPr>
              <w:t xml:space="preserve"> de </w:t>
            </w:r>
            <w:r w:rsidR="005B365E">
              <w:rPr>
                <w:rFonts w:ascii="Cambria" w:hAnsi="Cambria"/>
              </w:rPr>
              <w:t>production :</w:t>
            </w:r>
            <w:r w:rsidR="0038416F">
              <w:rPr>
                <w:rFonts w:ascii="Cambria" w:hAnsi="Cambria"/>
              </w:rPr>
              <w:t xml:space="preserve"> suppression des fichiers log et des enregistrements</w:t>
            </w:r>
            <w:r w:rsidR="003175B1">
              <w:rPr>
                <w:rFonts w:ascii="Cambria" w:hAnsi="Cambria"/>
              </w:rPr>
              <w:t xml:space="preserve"> déjà archivés</w:t>
            </w:r>
            <w:r w:rsidR="006246CB">
              <w:rPr>
                <w:rFonts w:ascii="Cambria" w:hAnsi="Cambria"/>
              </w:rPr>
              <w:t xml:space="preserve"> </w:t>
            </w:r>
            <w:r w:rsidR="002D4421">
              <w:rPr>
                <w:rFonts w:ascii="Cambria" w:hAnsi="Cambria"/>
              </w:rPr>
              <w:t xml:space="preserve">  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7F740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0978" w:rsidRDefault="002D097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F455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AF5515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  <w:p w:rsidR="002D0978" w:rsidRPr="00F55718" w:rsidRDefault="002D0978" w:rsidP="00AF55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440BED" w:rsidRDefault="00440BED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Support aux utilisateurs : souci ; difficulté avec les utilitaires bureautique ; mail inaccessible ; désactivation/réactivation de log hermès ; mise à disposition d’enregistrements ; </w:t>
            </w:r>
            <w:proofErr w:type="spellStart"/>
            <w:r w:rsidR="00B83A5B">
              <w:rPr>
                <w:sz w:val="20"/>
                <w:szCs w:val="20"/>
              </w:rPr>
              <w:t>basulement</w:t>
            </w:r>
            <w:proofErr w:type="spellEnd"/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1353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57613" w:rsidRDefault="00E57613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  <w:p w:rsidR="00E57613" w:rsidRPr="00C43365" w:rsidRDefault="00E57613" w:rsidP="00676F0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0920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5A17EF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E57613" w:rsidRDefault="00B83A5B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Finalisation du script </w:t>
            </w:r>
            <w:proofErr w:type="spellStart"/>
            <w:r>
              <w:rPr>
                <w:rFonts w:ascii="Cambria" w:hAnsi="Cambria"/>
                <w:szCs w:val="20"/>
              </w:rPr>
              <w:t>ecran</w:t>
            </w:r>
            <w:proofErr w:type="spellEnd"/>
            <w:r>
              <w:rPr>
                <w:rFonts w:ascii="Cambria" w:hAnsi="Cambria"/>
                <w:szCs w:val="20"/>
              </w:rPr>
              <w:t xml:space="preserve"> en guinée </w:t>
            </w:r>
            <w:proofErr w:type="spellStart"/>
            <w:r>
              <w:rPr>
                <w:rFonts w:ascii="Cambria" w:hAnsi="Cambria"/>
                <w:szCs w:val="20"/>
              </w:rPr>
              <w:t>conakry</w:t>
            </w:r>
            <w:proofErr w:type="spellEnd"/>
          </w:p>
          <w:p w:rsidR="00B83A5B" w:rsidRDefault="00B83A5B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Passage de compétence a l’équipe </w:t>
            </w:r>
            <w:proofErr w:type="spellStart"/>
            <w:r>
              <w:rPr>
                <w:rFonts w:ascii="Cambria" w:hAnsi="Cambria"/>
                <w:szCs w:val="20"/>
              </w:rPr>
              <w:t>dsi</w:t>
            </w:r>
            <w:proofErr w:type="spellEnd"/>
            <w:r>
              <w:rPr>
                <w:rFonts w:ascii="Cambria" w:hAnsi="Cambria"/>
                <w:szCs w:val="20"/>
              </w:rPr>
              <w:t xml:space="preserve"> de </w:t>
            </w:r>
            <w:proofErr w:type="spellStart"/>
            <w:r>
              <w:rPr>
                <w:rFonts w:ascii="Cambria" w:hAnsi="Cambria"/>
                <w:szCs w:val="20"/>
              </w:rPr>
              <w:t>conakry</w:t>
            </w:r>
            <w:proofErr w:type="spellEnd"/>
          </w:p>
          <w:p w:rsidR="00F945B3" w:rsidRDefault="00F945B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 la campagne SMS MTN</w:t>
            </w:r>
          </w:p>
          <w:p w:rsidR="00440BED" w:rsidRDefault="00440BED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 d’appel</w:t>
            </w:r>
          </w:p>
          <w:p w:rsidR="00E57613" w:rsidRDefault="00E57613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Maintenance sur les poste</w:t>
            </w:r>
            <w:r w:rsidR="00F945B3">
              <w:rPr>
                <w:rFonts w:ascii="Cambria" w:hAnsi="Cambria"/>
                <w:szCs w:val="20"/>
              </w:rPr>
              <w:t>s</w:t>
            </w:r>
            <w:r>
              <w:rPr>
                <w:rFonts w:ascii="Cambria" w:hAnsi="Cambria"/>
                <w:szCs w:val="20"/>
              </w:rPr>
              <w:t xml:space="preserve"> de l’administration</w:t>
            </w:r>
          </w:p>
          <w:p w:rsidR="00B83A5B" w:rsidRPr="00814921" w:rsidRDefault="00B83A5B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Actualisation du fichier suivi parc informatique</w:t>
            </w: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p w:rsidR="00174BCF" w:rsidRDefault="00174BCF">
      <w:r>
        <w:t xml:space="preserve"> </w:t>
      </w:r>
    </w:p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E1" w:rsidRDefault="00EB55E1" w:rsidP="00E248EC">
      <w:pPr>
        <w:spacing w:after="0" w:line="240" w:lineRule="auto"/>
      </w:pPr>
      <w:r>
        <w:separator/>
      </w:r>
    </w:p>
  </w:endnote>
  <w:endnote w:type="continuationSeparator" w:id="0">
    <w:p w:rsidR="00EB55E1" w:rsidRDefault="00EB55E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E1" w:rsidRDefault="00EB55E1" w:rsidP="00E248EC">
      <w:pPr>
        <w:spacing w:after="0" w:line="240" w:lineRule="auto"/>
      </w:pPr>
      <w:r>
        <w:separator/>
      </w:r>
    </w:p>
  </w:footnote>
  <w:footnote w:type="continuationSeparator" w:id="0">
    <w:p w:rsidR="00EB55E1" w:rsidRDefault="00EB55E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44BD1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462F"/>
    <w:rsid w:val="004A0F3E"/>
    <w:rsid w:val="004A429A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24D1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2845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0619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583C"/>
    <w:rsid w:val="00E97F84"/>
    <w:rsid w:val="00EA513B"/>
    <w:rsid w:val="00EB10B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4557D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5B3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FECD0-AACD-4BA0-9907-A24300CCB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3347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97</cp:revision>
  <dcterms:created xsi:type="dcterms:W3CDTF">2018-08-07T12:29:00Z</dcterms:created>
  <dcterms:modified xsi:type="dcterms:W3CDTF">2018-10-15T07:22:00Z</dcterms:modified>
</cp:coreProperties>
</file>