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186148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LOBE Jean-François H.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26343B" w:rsidRPr="00041BF1">
              <w:rPr>
                <w:rFonts w:ascii="Maiandra GD" w:hAnsi="Maiandra GD"/>
                <w:szCs w:val="18"/>
              </w:rPr>
              <w:t xml:space="preserve"> le</w:t>
            </w:r>
            <w:r w:rsidR="0026343B">
              <w:rPr>
                <w:rFonts w:ascii="Maiandra GD" w:hAnsi="Maiandra GD"/>
                <w:szCs w:val="18"/>
              </w:rPr>
              <w:t xml:space="preserve"> 7 avril 2014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437D14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26343B">
              <w:rPr>
                <w:rFonts w:ascii="Maiandra GD" w:hAnsi="Maiandra GD"/>
                <w:szCs w:val="18"/>
              </w:rPr>
              <w:t>Assistant DSI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26343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DSI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186148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AGUIAH Leandre W. 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1E5BFC">
              <w:rPr>
                <w:rFonts w:ascii="Tw Cen MT" w:hAnsi="Tw Cen MT" w:cs="Arial"/>
                <w:b/>
                <w:bCs/>
                <w:sz w:val="22"/>
                <w:szCs w:val="22"/>
              </w:rPr>
              <w:t>3ans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>TROISIEME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3F205F">
              <w:rPr>
                <w:rFonts w:ascii="Tw Cen MT" w:hAnsi="Tw Cen MT" w:cs="Arial"/>
                <w:b/>
                <w:bCs/>
                <w:sz w:val="22"/>
                <w:szCs w:val="22"/>
              </w:rPr>
              <w:t>6</w:t>
            </w:r>
          </w:p>
        </w:tc>
      </w:tr>
      <w:tr w:rsidR="00BA2643" w:rsidRPr="006968A6" w:rsidTr="001C7A9E">
        <w:trPr>
          <w:gridBefore w:val="1"/>
          <w:wBefore w:w="7" w:type="dxa"/>
          <w:trHeight w:val="36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513D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-mise en place de script</w:t>
            </w:r>
            <w:r w:rsidR="00627A05">
              <w:rPr>
                <w:rFonts w:ascii="Maiandra GD" w:hAnsi="Maiandra GD" w:cs="Arial"/>
                <w:bCs/>
                <w:sz w:val="20"/>
                <w:szCs w:val="20"/>
              </w:rPr>
              <w:t>s agent</w:t>
            </w: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 </w:t>
            </w:r>
            <w:r w:rsidR="00627A05">
              <w:rPr>
                <w:rFonts w:ascii="Maiandra GD" w:hAnsi="Maiandra GD" w:cs="Arial"/>
                <w:bCs/>
                <w:sz w:val="20"/>
                <w:szCs w:val="20"/>
              </w:rPr>
              <w:t xml:space="preserve">et de campagne sous </w:t>
            </w:r>
            <w:proofErr w:type="spellStart"/>
            <w:r w:rsidR="00627A05">
              <w:rPr>
                <w:rFonts w:ascii="Maiandra GD" w:hAnsi="Maiandra GD" w:cs="Arial"/>
                <w:bCs/>
                <w:sz w:val="20"/>
                <w:szCs w:val="20"/>
              </w:rPr>
              <w:t>hermes</w:t>
            </w:r>
            <w:proofErr w:type="spellEnd"/>
          </w:p>
          <w:p w:rsidR="005B41D8" w:rsidRDefault="005B41D8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-mise en place de la campane MOOV </w:t>
            </w:r>
            <w:r w:rsidR="001E5BFC">
              <w:rPr>
                <w:rFonts w:ascii="Maiandra GD" w:hAnsi="Maiandra GD" w:cs="Arial"/>
                <w:bCs/>
                <w:sz w:val="20"/>
                <w:szCs w:val="20"/>
              </w:rPr>
              <w:t>Facebook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-maintenance préventive et curative du parc informatique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-support a la filiale MCCAM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 archivage des enregistrements et fichiers de l’entreprise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-suivi de la production </w:t>
            </w:r>
            <w:proofErr w:type="spellStart"/>
            <w:r>
              <w:rPr>
                <w:rFonts w:ascii="Maiandra GD" w:hAnsi="Maiandra GD" w:cs="Arial"/>
                <w:bCs/>
                <w:sz w:val="20"/>
                <w:szCs w:val="20"/>
              </w:rPr>
              <w:t>fty</w:t>
            </w:r>
            <w:proofErr w:type="spellEnd"/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 (mise à jour adages, injection de nouveaux fichiers client, exportation hebdo du fichier, recyclage du fichier client …)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-monitoring du réseau </w:t>
            </w:r>
          </w:p>
          <w:p w:rsidR="0026343B" w:rsidRDefault="0026343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-suivi des campagnes émission MTN (Mobile money, EA-DATA, rappel Momo ; MTN business</w:t>
            </w:r>
            <w:r w:rsidR="00916475">
              <w:rPr>
                <w:rFonts w:ascii="Maiandra GD" w:hAnsi="Maiandra GD" w:cs="Arial"/>
                <w:bCs/>
                <w:sz w:val="20"/>
                <w:szCs w:val="20"/>
              </w:rPr>
              <w:t xml:space="preserve">) par le recyclage et injection des fichiers ; basculement des agents </w:t>
            </w:r>
          </w:p>
          <w:p w:rsidR="005B41D8" w:rsidRDefault="005B41D8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- support aux utilisateurs </w:t>
            </w:r>
          </w:p>
          <w:p w:rsidR="00EB1941" w:rsidRPr="00450F81" w:rsidRDefault="005B41D8" w:rsidP="00450F81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-actualisation permanente de la base de connaissance</w:t>
            </w:r>
            <w:r w:rsidR="001E5BFC">
              <w:rPr>
                <w:rFonts w:ascii="Maiandra GD" w:hAnsi="Maiandra GD" w:cs="Arial"/>
                <w:bCs/>
                <w:sz w:val="20"/>
                <w:szCs w:val="20"/>
              </w:rPr>
              <w:t xml:space="preserve"> (FAQ)</w:t>
            </w: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 </w:t>
            </w:r>
            <w:r w:rsidR="001E5BFC">
              <w:rPr>
                <w:rFonts w:ascii="Maiandra GD" w:hAnsi="Maiandra GD" w:cs="Arial"/>
                <w:bCs/>
                <w:sz w:val="20"/>
                <w:szCs w:val="20"/>
              </w:rPr>
              <w:t>de l’outil OGTI (outil de gestion des tickets d’incident)</w:t>
            </w:r>
            <w:r w:rsidR="001E5BFC" w:rsidRPr="001E5BFC">
              <w:rPr>
                <w:rFonts w:ascii="Maiandra GD" w:hAnsi="Maiandra GD" w:cs="Arial"/>
                <w:bCs/>
                <w:sz w:val="20"/>
                <w:szCs w:val="20"/>
              </w:rPr>
              <w:t xml:space="preserve"> </w:t>
            </w:r>
            <w:r w:rsidRPr="001E5BFC">
              <w:rPr>
                <w:rFonts w:ascii="Maiandra GD" w:hAnsi="Maiandra GD" w:cs="Arial"/>
                <w:bCs/>
                <w:sz w:val="20"/>
                <w:szCs w:val="20"/>
              </w:rPr>
              <w:t xml:space="preserve">   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513DB" w:rsidRPr="00450F81" w:rsidRDefault="00916475" w:rsidP="00450F81">
            <w:pPr>
              <w:pStyle w:val="Paragraphedeliste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Améliorer mon efficacité et mes connaissances pour mieux accompagner l’entreprise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450F81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F1482" w:rsidRPr="004528E6" w:rsidRDefault="00916475" w:rsidP="00450F81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Pr="00E54CD7" w:rsidRDefault="00E54CD7" w:rsidP="006F1939">
            <w:r w:rsidRPr="00E54CD7">
              <w:t>Collabor</w:t>
            </w:r>
            <w:r>
              <w:t xml:space="preserve">ateur disponible et volontaire mais manque de concentration  et de curiosité. Travail quotidien peu satisfaisant. Droit prendre </w:t>
            </w:r>
            <w:r w:rsidR="00450F81">
              <w:t>conscience</w:t>
            </w:r>
            <w:r>
              <w:t xml:space="preserve"> </w:t>
            </w:r>
            <w:r w:rsidR="00450F81">
              <w:t>et exécuter s</w:t>
            </w:r>
            <w:r>
              <w:t xml:space="preserve">es taches </w:t>
            </w:r>
            <w:r w:rsidR="00C2190E">
              <w:t xml:space="preserve">quotidienne </w:t>
            </w:r>
            <w:r w:rsidR="00450F81">
              <w:t>de façon continue et régulièrement</w:t>
            </w:r>
            <w:r w:rsidR="00C2190E">
              <w:t xml:space="preserve"> avec des traçabilités pour permettre à la hiérarchie d’apprécier le travail</w:t>
            </w:r>
            <w:r>
              <w:t>.</w:t>
            </w:r>
            <w:r w:rsidR="00450F81">
              <w:t xml:space="preserve"> </w:t>
            </w:r>
            <w:r>
              <w:t xml:space="preserve"> </w:t>
            </w:r>
          </w:p>
          <w:p w:rsidR="00450F81" w:rsidRDefault="00450F81" w:rsidP="006F1939">
            <w:r w:rsidRPr="00450F81">
              <w:t>A besoin d</w:t>
            </w:r>
            <w:r>
              <w:t>e prendre conscience, vu son ancienneté</w:t>
            </w:r>
            <w:r w:rsidR="000A74A9">
              <w:t xml:space="preserve"> dans l’entreprise</w:t>
            </w:r>
            <w:r>
              <w:t xml:space="preserve">, qu’il doit très vite </w:t>
            </w:r>
            <w:r w:rsidR="000A74A9">
              <w:t>monter</w:t>
            </w:r>
            <w:r>
              <w:t xml:space="preserve"> en compétence sur Hermès et tout ce qui est réseau.</w:t>
            </w:r>
          </w:p>
          <w:p w:rsidR="007F1482" w:rsidRDefault="00C2190E" w:rsidP="00450F81">
            <w:r>
              <w:t>Le collaborateur</w:t>
            </w:r>
            <w:r w:rsidR="00450F81">
              <w:t xml:space="preserve"> </w:t>
            </w:r>
            <w:r w:rsidR="000A74A9">
              <w:t>assure très bien quand même</w:t>
            </w:r>
            <w:r w:rsidR="00450F81">
              <w:t xml:space="preserve"> son rôle « </w:t>
            </w:r>
            <w:r w:rsidR="000A74A9">
              <w:t>d’administration</w:t>
            </w:r>
            <w:r w:rsidR="00450F81">
              <w:t xml:space="preserve"> et maintenance du parc informatique » et </w:t>
            </w:r>
            <w:r w:rsidR="000A74A9">
              <w:t>celui</w:t>
            </w:r>
            <w:r w:rsidR="00450F81">
              <w:t xml:space="preserve"> d’assistance aux utilisateurs.  </w:t>
            </w:r>
            <w:bookmarkStart w:id="0" w:name="_GoBack"/>
            <w:bookmarkEnd w:id="0"/>
          </w:p>
          <w:p w:rsidR="00450F81" w:rsidRPr="00450F81" w:rsidRDefault="00450F81" w:rsidP="00450F81"/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450F81" w:rsidRPr="00937797" w:rsidRDefault="00450F81" w:rsidP="00937797">
            <w:pPr>
              <w:jc w:val="right"/>
              <w:rPr>
                <w:u w:val="single"/>
              </w:rPr>
            </w:pPr>
          </w:p>
        </w:tc>
      </w:tr>
    </w:tbl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DC" w:rsidRDefault="005B72DC">
      <w:r>
        <w:separator/>
      </w:r>
    </w:p>
  </w:endnote>
  <w:endnote w:type="continuationSeparator" w:id="0">
    <w:p w:rsidR="005B72DC" w:rsidRDefault="005B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A74A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DC" w:rsidRDefault="005B72DC">
      <w:r>
        <w:separator/>
      </w:r>
    </w:p>
  </w:footnote>
  <w:footnote w:type="continuationSeparator" w:id="0">
    <w:p w:rsidR="005B72DC" w:rsidRDefault="005B7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 w15:restartNumberingAfterBreak="0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A74A9"/>
    <w:rsid w:val="000B29D0"/>
    <w:rsid w:val="000B4055"/>
    <w:rsid w:val="000C1169"/>
    <w:rsid w:val="000C770F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86148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13"/>
    <w:rsid w:val="001C2D70"/>
    <w:rsid w:val="001C7A9E"/>
    <w:rsid w:val="001D10E0"/>
    <w:rsid w:val="001D12E2"/>
    <w:rsid w:val="001E5BFC"/>
    <w:rsid w:val="001F13E7"/>
    <w:rsid w:val="001F43B2"/>
    <w:rsid w:val="00214264"/>
    <w:rsid w:val="00222AE4"/>
    <w:rsid w:val="00233893"/>
    <w:rsid w:val="00235D0E"/>
    <w:rsid w:val="00242700"/>
    <w:rsid w:val="002513DB"/>
    <w:rsid w:val="00254CC9"/>
    <w:rsid w:val="0026243E"/>
    <w:rsid w:val="0026343B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0F81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1D8"/>
    <w:rsid w:val="005B4899"/>
    <w:rsid w:val="005B5584"/>
    <w:rsid w:val="005B72DC"/>
    <w:rsid w:val="005D4F2F"/>
    <w:rsid w:val="005F62BE"/>
    <w:rsid w:val="00611405"/>
    <w:rsid w:val="0061144F"/>
    <w:rsid w:val="00616543"/>
    <w:rsid w:val="00620087"/>
    <w:rsid w:val="00624F2F"/>
    <w:rsid w:val="00627A05"/>
    <w:rsid w:val="006555EF"/>
    <w:rsid w:val="00664413"/>
    <w:rsid w:val="00664BC8"/>
    <w:rsid w:val="006662BF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62CF6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16475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0C27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7661B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190E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1D11"/>
    <w:rsid w:val="00C92843"/>
    <w:rsid w:val="00C9694C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081C"/>
    <w:rsid w:val="00DB4E2F"/>
    <w:rsid w:val="00DB7FA0"/>
    <w:rsid w:val="00DD476F"/>
    <w:rsid w:val="00DD7040"/>
    <w:rsid w:val="00DD756F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405A8"/>
    <w:rsid w:val="00E52E4B"/>
    <w:rsid w:val="00E54CD7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EF536D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02C6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4DCEEA-8570-4B6E-B312-31A58F30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1694</Characters>
  <Application>Microsoft Office Word</Application>
  <DocSecurity>4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2017-03-30T16:37:00Z</dcterms:created>
  <dcterms:modified xsi:type="dcterms:W3CDTF">2017-03-30T16:37:00Z</dcterms:modified>
</cp:coreProperties>
</file>