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 w:rsidP="005D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AA51BE">
              <w:rPr>
                <w:sz w:val="20"/>
                <w:szCs w:val="20"/>
              </w:rPr>
              <w:t>6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0C6DCD">
        <w:trPr>
          <w:trHeight w:val="277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BB6FD5">
        <w:trPr>
          <w:trHeight w:val="652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1F5B69" w:rsidRPr="00E248EC" w:rsidTr="001F5B69">
        <w:trPr>
          <w:trHeight w:val="1005"/>
        </w:trPr>
        <w:tc>
          <w:tcPr>
            <w:tcW w:w="3495" w:type="dxa"/>
          </w:tcPr>
          <w:p w:rsidR="001F5B69" w:rsidRPr="00E248EC" w:rsidRDefault="00012239" w:rsidP="008E0616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Migration </w:t>
            </w:r>
            <w:r w:rsidR="008E0616">
              <w:rPr>
                <w:sz w:val="20"/>
                <w:szCs w:val="20"/>
              </w:rPr>
              <w:t xml:space="preserve">du parc informatique </w:t>
            </w:r>
            <w:r>
              <w:rPr>
                <w:sz w:val="20"/>
                <w:szCs w:val="20"/>
              </w:rPr>
              <w:t xml:space="preserve"> vers windows seven</w:t>
            </w:r>
            <w:r w:rsidR="001727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1F5B69" w:rsidRPr="00732F18" w:rsidRDefault="00567C9E" w:rsidP="00732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="008E0616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F51A86" w:rsidRDefault="00F51A86" w:rsidP="005239A1">
            <w:pPr>
              <w:rPr>
                <w:sz w:val="20"/>
                <w:szCs w:val="20"/>
              </w:rPr>
            </w:pPr>
          </w:p>
          <w:p w:rsidR="000E3475" w:rsidRPr="00E248EC" w:rsidRDefault="000E3475" w:rsidP="005239A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845DE7" w:rsidRPr="00AB4DBC" w:rsidRDefault="00567C9E" w:rsidP="00172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Certain disque dur ne sont plus en très bon état ce qui fait parfois échoué l’installation et ralenti notre évolution (les anciens postes).</w:t>
            </w:r>
            <w:r w:rsidR="00AA51BE">
              <w:rPr>
                <w:sz w:val="20"/>
                <w:szCs w:val="20"/>
              </w:rPr>
              <w:t xml:space="preserve">aussi agents et team leader se plaignent d’une lenteur des ces postes  </w:t>
            </w:r>
          </w:p>
        </w:tc>
        <w:tc>
          <w:tcPr>
            <w:tcW w:w="3868" w:type="dxa"/>
          </w:tcPr>
          <w:p w:rsidR="003A7209" w:rsidRDefault="003A7209" w:rsidP="00FC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C350A">
              <w:rPr>
                <w:sz w:val="20"/>
                <w:szCs w:val="20"/>
              </w:rPr>
              <w:t>Les positions</w:t>
            </w:r>
            <w:r w:rsidR="00173D98">
              <w:rPr>
                <w:sz w:val="20"/>
                <w:szCs w:val="20"/>
              </w:rPr>
              <w:t xml:space="preserve"> moov</w:t>
            </w:r>
            <w:r w:rsidR="00FC350A">
              <w:rPr>
                <w:sz w:val="20"/>
                <w:szCs w:val="20"/>
              </w:rPr>
              <w:t xml:space="preserve"> et fty</w:t>
            </w:r>
            <w:r w:rsidR="00173D98">
              <w:rPr>
                <w:sz w:val="20"/>
                <w:szCs w:val="20"/>
              </w:rPr>
              <w:t xml:space="preserve"> sont déjà sous win 7 </w:t>
            </w:r>
            <w:r w:rsidR="00CF6FC8">
              <w:rPr>
                <w:sz w:val="20"/>
                <w:szCs w:val="20"/>
              </w:rPr>
              <w:t xml:space="preserve">Le reste du parc </w:t>
            </w:r>
            <w:r w:rsidR="00FC350A">
              <w:rPr>
                <w:sz w:val="20"/>
                <w:szCs w:val="20"/>
              </w:rPr>
              <w:t>informatique. mtn en cours</w:t>
            </w:r>
            <w:r>
              <w:rPr>
                <w:sz w:val="20"/>
                <w:szCs w:val="20"/>
              </w:rPr>
              <w:t>.</w:t>
            </w:r>
          </w:p>
          <w:p w:rsidR="00CF6FC8" w:rsidRPr="00244CF0" w:rsidRDefault="003A7209" w:rsidP="00FC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-je pense  faire un test en augmentant la mémoire RAM </w:t>
            </w:r>
            <w:r w:rsidR="00AC50D3">
              <w:rPr>
                <w:sz w:val="20"/>
                <w:szCs w:val="20"/>
              </w:rPr>
              <w:t>de quelque</w:t>
            </w:r>
            <w:r>
              <w:rPr>
                <w:sz w:val="20"/>
                <w:szCs w:val="20"/>
              </w:rPr>
              <w:t>s uns des anciens postes déjà installé</w:t>
            </w:r>
            <w:r w:rsidR="0064122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a 2 Go car actuellement pour la plus part ils sont a 1 Go</w:t>
            </w:r>
            <w:r w:rsidR="0026642A">
              <w:rPr>
                <w:sz w:val="20"/>
                <w:szCs w:val="20"/>
              </w:rPr>
              <w:t xml:space="preserve"> de RAM</w:t>
            </w:r>
            <w:r>
              <w:rPr>
                <w:sz w:val="20"/>
                <w:szCs w:val="20"/>
              </w:rPr>
              <w:t xml:space="preserve">  </w:t>
            </w:r>
            <w:r w:rsidR="00FC350A">
              <w:rPr>
                <w:sz w:val="20"/>
                <w:szCs w:val="20"/>
              </w:rPr>
              <w:t xml:space="preserve"> </w:t>
            </w:r>
          </w:p>
        </w:tc>
      </w:tr>
      <w:tr w:rsidR="000F451F" w:rsidRPr="00E248EC" w:rsidTr="000C6DCD">
        <w:trPr>
          <w:trHeight w:val="1111"/>
        </w:trPr>
        <w:tc>
          <w:tcPr>
            <w:tcW w:w="3495" w:type="dxa"/>
          </w:tcPr>
          <w:p w:rsidR="000F451F" w:rsidRPr="00E248EC" w:rsidRDefault="00FC2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 : gestion des tickets OGTi</w:t>
            </w:r>
          </w:p>
        </w:tc>
        <w:tc>
          <w:tcPr>
            <w:tcW w:w="1321" w:type="dxa"/>
          </w:tcPr>
          <w:p w:rsidR="000F451F" w:rsidRPr="00E248EC" w:rsidRDefault="0069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F61863">
              <w:rPr>
                <w:sz w:val="20"/>
                <w:szCs w:val="20"/>
              </w:rPr>
              <w:t> ,99</w:t>
            </w:r>
            <w:r w:rsidR="004E5E48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115D4D" w:rsidRDefault="00DA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-maintenance hebdomadaire</w:t>
            </w:r>
            <w:r w:rsidR="00A8417F">
              <w:rPr>
                <w:sz w:val="20"/>
                <w:szCs w:val="20"/>
              </w:rPr>
              <w:t xml:space="preserve"> </w:t>
            </w:r>
          </w:p>
          <w:p w:rsidR="00567C9E" w:rsidRDefault="00AA51BE" w:rsidP="008F6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-mise </w:t>
            </w:r>
            <w:r w:rsidR="003A7209">
              <w:rPr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 xml:space="preserve"> disposition d’un nouveau poste pour l’assistante du PDG</w:t>
            </w:r>
          </w:p>
          <w:p w:rsidR="003A7209" w:rsidRPr="00E248EC" w:rsidRDefault="003A7209" w:rsidP="008F6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7946C1">
              <w:rPr>
                <w:sz w:val="20"/>
                <w:szCs w:val="20"/>
              </w:rPr>
              <w:t xml:space="preserve"> remise en service des postes 150 et 148  </w:t>
            </w:r>
          </w:p>
        </w:tc>
        <w:tc>
          <w:tcPr>
            <w:tcW w:w="3511" w:type="dxa"/>
          </w:tcPr>
          <w:p w:rsidR="00207BC6" w:rsidRPr="00207BC6" w:rsidRDefault="00567C9E" w:rsidP="003D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matériels demandés pour remplacer celui défectueux ne nous sont pas remis à temps.</w:t>
            </w:r>
          </w:p>
        </w:tc>
        <w:tc>
          <w:tcPr>
            <w:tcW w:w="3868" w:type="dxa"/>
          </w:tcPr>
          <w:p w:rsidR="00FC350A" w:rsidRDefault="007946C1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D2EDB">
              <w:rPr>
                <w:sz w:val="20"/>
                <w:szCs w:val="20"/>
              </w:rPr>
              <w:t>Il  y a deux  poste</w:t>
            </w:r>
            <w:r w:rsidR="003A7209">
              <w:rPr>
                <w:sz w:val="20"/>
                <w:szCs w:val="20"/>
              </w:rPr>
              <w:t>s</w:t>
            </w:r>
            <w:r w:rsidR="00CD2EDB">
              <w:rPr>
                <w:sz w:val="20"/>
                <w:szCs w:val="20"/>
              </w:rPr>
              <w:t xml:space="preserve"> sur la production Mtn qui on</w:t>
            </w:r>
            <w:r w:rsidR="003A7209">
              <w:rPr>
                <w:sz w:val="20"/>
                <w:szCs w:val="20"/>
              </w:rPr>
              <w:t>t</w:t>
            </w:r>
            <w:r w:rsidR="00CD2EDB">
              <w:rPr>
                <w:sz w:val="20"/>
                <w:szCs w:val="20"/>
              </w:rPr>
              <w:t xml:space="preserve"> un souci de carte mère (il y a des composants cramés)</w:t>
            </w:r>
          </w:p>
          <w:p w:rsidR="00BA3F9A" w:rsidRDefault="00FC350A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un sur moov ;</w:t>
            </w:r>
            <w:r w:rsidR="00E82B46">
              <w:rPr>
                <w:sz w:val="20"/>
                <w:szCs w:val="20"/>
              </w:rPr>
              <w:t xml:space="preserve"> il est a noté que c’est la dernière vague de poste</w:t>
            </w:r>
            <w:r>
              <w:rPr>
                <w:sz w:val="20"/>
                <w:szCs w:val="20"/>
              </w:rPr>
              <w:t xml:space="preserve"> versus</w:t>
            </w:r>
            <w:r w:rsidR="00E82B46">
              <w:rPr>
                <w:sz w:val="20"/>
                <w:szCs w:val="20"/>
              </w:rPr>
              <w:t xml:space="preserve"> déployés</w:t>
            </w:r>
            <w:r w:rsidR="008F6407">
              <w:rPr>
                <w:sz w:val="20"/>
                <w:szCs w:val="20"/>
              </w:rPr>
              <w:t xml:space="preserve">  un</w:t>
            </w:r>
            <w:r>
              <w:rPr>
                <w:sz w:val="20"/>
                <w:szCs w:val="20"/>
              </w:rPr>
              <w:t xml:space="preserve">e demande a déjà </w:t>
            </w:r>
            <w:r w:rsidR="003A7209">
              <w:rPr>
                <w:sz w:val="20"/>
                <w:szCs w:val="20"/>
              </w:rPr>
              <w:t xml:space="preserve">été </w:t>
            </w:r>
            <w:r w:rsidR="008F6407">
              <w:rPr>
                <w:sz w:val="20"/>
                <w:szCs w:val="20"/>
              </w:rPr>
              <w:t xml:space="preserve"> envoyé au service généraux pour </w:t>
            </w:r>
            <w:r w:rsidR="00CB2CF0">
              <w:rPr>
                <w:sz w:val="20"/>
                <w:szCs w:val="20"/>
              </w:rPr>
              <w:t>remplacement.</w:t>
            </w:r>
          </w:p>
          <w:p w:rsidR="007946C1" w:rsidRPr="00E248EC" w:rsidRDefault="007946C1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-les ventilo souvent plein de poussière ne tourne plus correctement et  faire le dépoussiérage au moyen d’un pinceau n’est pas du tout commode.   </w:t>
            </w: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E47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utilisateurs</w:t>
            </w:r>
          </w:p>
        </w:tc>
        <w:tc>
          <w:tcPr>
            <w:tcW w:w="1321" w:type="dxa"/>
          </w:tcPr>
          <w:p w:rsidR="004E5E48" w:rsidRDefault="004E5E48">
            <w:pPr>
              <w:rPr>
                <w:sz w:val="20"/>
                <w:szCs w:val="20"/>
              </w:rPr>
            </w:pPr>
          </w:p>
          <w:p w:rsidR="000F451F" w:rsidRPr="004E5E48" w:rsidRDefault="004E5E48" w:rsidP="004E5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AA51BE" w:rsidRDefault="00A05AB3" w:rsidP="00AA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A51BE">
              <w:rPr>
                <w:sz w:val="20"/>
                <w:szCs w:val="20"/>
              </w:rPr>
              <w:t>- participation a une formation sur le module interface design d’hermès pour la réalisation d’un script écran.</w:t>
            </w:r>
          </w:p>
          <w:p w:rsidR="00AA51BE" w:rsidRDefault="00AA51BE" w:rsidP="00AA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-recensement des différents lecteurs en vu de revoir les droit d’accès des uns et des autre  suite au  nouvel organigramme </w:t>
            </w:r>
            <w:r>
              <w:rPr>
                <w:sz w:val="20"/>
                <w:szCs w:val="20"/>
              </w:rPr>
              <w:lastRenderedPageBreak/>
              <w:t>de l’entreprise</w:t>
            </w:r>
          </w:p>
          <w:p w:rsidR="004E5E48" w:rsidRPr="00732F18" w:rsidRDefault="004E5E48" w:rsidP="00F6186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F451F" w:rsidRPr="00E248EC" w:rsidRDefault="00381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Je constate que les utilisateur</w:t>
            </w:r>
            <w:r w:rsidR="00750DF5">
              <w:rPr>
                <w:sz w:val="20"/>
                <w:szCs w:val="20"/>
              </w:rPr>
              <w:t>s débranche</w:t>
            </w:r>
            <w:r>
              <w:rPr>
                <w:sz w:val="20"/>
                <w:szCs w:val="20"/>
              </w:rPr>
              <w:t>nt</w:t>
            </w:r>
            <w:r w:rsidR="00750DF5">
              <w:rPr>
                <w:sz w:val="20"/>
                <w:szCs w:val="20"/>
              </w:rPr>
              <w:t xml:space="preserve">  très souvent les pé</w:t>
            </w:r>
            <w:r>
              <w:rPr>
                <w:sz w:val="20"/>
                <w:szCs w:val="20"/>
              </w:rPr>
              <w:t>riphériques</w:t>
            </w:r>
            <w:r w:rsidR="00750DF5">
              <w:rPr>
                <w:sz w:val="20"/>
                <w:szCs w:val="20"/>
              </w:rPr>
              <w:t xml:space="preserve"> (clavier, souris) et généralement les broches des </w:t>
            </w:r>
            <w:r w:rsidR="00567C9E">
              <w:rPr>
                <w:sz w:val="20"/>
                <w:szCs w:val="20"/>
              </w:rPr>
              <w:t>ports</w:t>
            </w:r>
            <w:r w:rsidR="00750DF5">
              <w:rPr>
                <w:sz w:val="20"/>
                <w:szCs w:val="20"/>
              </w:rPr>
              <w:t xml:space="preserve"> ps2 sont tordus d’où un grand nombre de clavier et souris défectueux.</w:t>
            </w:r>
          </w:p>
        </w:tc>
        <w:tc>
          <w:tcPr>
            <w:tcW w:w="3868" w:type="dxa"/>
          </w:tcPr>
          <w:p w:rsidR="00EC783F" w:rsidRDefault="00E477E6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="00C03B93">
              <w:rPr>
                <w:sz w:val="20"/>
                <w:szCs w:val="20"/>
              </w:rPr>
              <w:t>la plus part des claviers en production sont illisible</w:t>
            </w:r>
            <w:r w:rsidR="003A7209">
              <w:rPr>
                <w:sz w:val="20"/>
                <w:szCs w:val="20"/>
              </w:rPr>
              <w:t>s</w:t>
            </w:r>
            <w:r w:rsidR="00C03B93">
              <w:rPr>
                <w:sz w:val="20"/>
                <w:szCs w:val="20"/>
              </w:rPr>
              <w:t xml:space="preserve"> ce qui rend difficile le travail des agents. </w:t>
            </w:r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32"/>
        </w:trPr>
        <w:tc>
          <w:tcPr>
            <w:tcW w:w="3495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C03B93" w:rsidRPr="00E248EC" w:rsidRDefault="00C03B9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8F6407" w:rsidRPr="00E248EC" w:rsidRDefault="008F6407" w:rsidP="00483155">
            <w:pPr>
              <w:rPr>
                <w:sz w:val="20"/>
                <w:szCs w:val="20"/>
              </w:rPr>
            </w:pPr>
          </w:p>
        </w:tc>
      </w:tr>
      <w:tr w:rsidR="00C66E46" w:rsidRPr="00E248EC" w:rsidTr="00E248EC">
        <w:trPr>
          <w:trHeight w:val="432"/>
        </w:trPr>
        <w:tc>
          <w:tcPr>
            <w:tcW w:w="3495" w:type="dxa"/>
          </w:tcPr>
          <w:p w:rsidR="00C66E46" w:rsidRDefault="00C66E46" w:rsidP="00CB2CF0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C66E46" w:rsidRPr="00E248EC" w:rsidRDefault="00C66E46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C66E46" w:rsidRDefault="00C66E46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C66E46" w:rsidRDefault="00C66E46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C66E46" w:rsidRDefault="00C66E46" w:rsidP="00483155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15837" w:type="dxa"/>
            <w:gridSpan w:val="5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A401B3">
        <w:trPr>
          <w:trHeight w:val="950"/>
        </w:trPr>
        <w:tc>
          <w:tcPr>
            <w:tcW w:w="3495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A52" w:rsidRDefault="002D1A52" w:rsidP="00E248EC">
      <w:pPr>
        <w:spacing w:after="0" w:line="240" w:lineRule="auto"/>
      </w:pPr>
      <w:r>
        <w:separator/>
      </w:r>
    </w:p>
  </w:endnote>
  <w:endnote w:type="continuationSeparator" w:id="1">
    <w:p w:rsidR="002D1A52" w:rsidRDefault="002D1A52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A52" w:rsidRDefault="002D1A52" w:rsidP="00E248EC">
      <w:pPr>
        <w:spacing w:after="0" w:line="240" w:lineRule="auto"/>
      </w:pPr>
      <w:r>
        <w:separator/>
      </w:r>
    </w:p>
  </w:footnote>
  <w:footnote w:type="continuationSeparator" w:id="1">
    <w:p w:rsidR="002D1A52" w:rsidRDefault="002D1A52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4866"/>
  </w:hdrShapeDefaults>
  <w:footnotePr>
    <w:footnote w:id="0"/>
    <w:footnote w:id="1"/>
  </w:footnotePr>
  <w:endnotePr>
    <w:endnote w:id="0"/>
    <w:endnote w:id="1"/>
  </w:endnotePr>
  <w:compat/>
  <w:rsids>
    <w:rsidRoot w:val="00E248EC"/>
    <w:rsid w:val="00005D88"/>
    <w:rsid w:val="00012239"/>
    <w:rsid w:val="00021C57"/>
    <w:rsid w:val="00025CB4"/>
    <w:rsid w:val="0004432E"/>
    <w:rsid w:val="0005405D"/>
    <w:rsid w:val="00056ECC"/>
    <w:rsid w:val="00077EFC"/>
    <w:rsid w:val="00087E3A"/>
    <w:rsid w:val="000935F7"/>
    <w:rsid w:val="00094EBB"/>
    <w:rsid w:val="00095180"/>
    <w:rsid w:val="000C6DCD"/>
    <w:rsid w:val="000D54F0"/>
    <w:rsid w:val="000E0A96"/>
    <w:rsid w:val="000E3475"/>
    <w:rsid w:val="000F451F"/>
    <w:rsid w:val="000F6529"/>
    <w:rsid w:val="00115D4D"/>
    <w:rsid w:val="00124697"/>
    <w:rsid w:val="00130BE3"/>
    <w:rsid w:val="00130E56"/>
    <w:rsid w:val="00141CED"/>
    <w:rsid w:val="001504EA"/>
    <w:rsid w:val="00152C1E"/>
    <w:rsid w:val="00161CC3"/>
    <w:rsid w:val="00164389"/>
    <w:rsid w:val="00170BE6"/>
    <w:rsid w:val="0017273E"/>
    <w:rsid w:val="00173D98"/>
    <w:rsid w:val="0017782C"/>
    <w:rsid w:val="00182572"/>
    <w:rsid w:val="00195A50"/>
    <w:rsid w:val="00195B42"/>
    <w:rsid w:val="001A290E"/>
    <w:rsid w:val="001A78D2"/>
    <w:rsid w:val="001C06AD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4CF0"/>
    <w:rsid w:val="0026642A"/>
    <w:rsid w:val="00266CB6"/>
    <w:rsid w:val="0027362D"/>
    <w:rsid w:val="00281B47"/>
    <w:rsid w:val="00294008"/>
    <w:rsid w:val="002B6A30"/>
    <w:rsid w:val="002C5268"/>
    <w:rsid w:val="002C600A"/>
    <w:rsid w:val="002D0446"/>
    <w:rsid w:val="002D1A52"/>
    <w:rsid w:val="00306DE1"/>
    <w:rsid w:val="00314125"/>
    <w:rsid w:val="00381972"/>
    <w:rsid w:val="00391AA2"/>
    <w:rsid w:val="00392EB4"/>
    <w:rsid w:val="00394686"/>
    <w:rsid w:val="003A7209"/>
    <w:rsid w:val="003B112D"/>
    <w:rsid w:val="003D51C0"/>
    <w:rsid w:val="003D557D"/>
    <w:rsid w:val="003D7379"/>
    <w:rsid w:val="003E4752"/>
    <w:rsid w:val="003F6A16"/>
    <w:rsid w:val="00404C58"/>
    <w:rsid w:val="00421A1C"/>
    <w:rsid w:val="0045147F"/>
    <w:rsid w:val="00452829"/>
    <w:rsid w:val="004579C5"/>
    <w:rsid w:val="00464E11"/>
    <w:rsid w:val="0047419A"/>
    <w:rsid w:val="00483155"/>
    <w:rsid w:val="0048439E"/>
    <w:rsid w:val="00490E02"/>
    <w:rsid w:val="004A429A"/>
    <w:rsid w:val="004B6A20"/>
    <w:rsid w:val="004C113E"/>
    <w:rsid w:val="004C4A62"/>
    <w:rsid w:val="004C51B3"/>
    <w:rsid w:val="004D0B14"/>
    <w:rsid w:val="004D1656"/>
    <w:rsid w:val="004E2BCC"/>
    <w:rsid w:val="004E5B2D"/>
    <w:rsid w:val="004E5E48"/>
    <w:rsid w:val="004F6C3A"/>
    <w:rsid w:val="00503A2E"/>
    <w:rsid w:val="005239A1"/>
    <w:rsid w:val="005350B3"/>
    <w:rsid w:val="005362F0"/>
    <w:rsid w:val="005461BA"/>
    <w:rsid w:val="00551755"/>
    <w:rsid w:val="00561F59"/>
    <w:rsid w:val="00567C40"/>
    <w:rsid w:val="00567C9E"/>
    <w:rsid w:val="0058198F"/>
    <w:rsid w:val="00582AE8"/>
    <w:rsid w:val="00592DF3"/>
    <w:rsid w:val="00595B4A"/>
    <w:rsid w:val="005B0E80"/>
    <w:rsid w:val="005B3F2E"/>
    <w:rsid w:val="005D0503"/>
    <w:rsid w:val="005D2B5C"/>
    <w:rsid w:val="0060069A"/>
    <w:rsid w:val="006055DF"/>
    <w:rsid w:val="00611D02"/>
    <w:rsid w:val="00627B9D"/>
    <w:rsid w:val="0064122A"/>
    <w:rsid w:val="00646987"/>
    <w:rsid w:val="0066044C"/>
    <w:rsid w:val="00667FD5"/>
    <w:rsid w:val="006735DE"/>
    <w:rsid w:val="0068467D"/>
    <w:rsid w:val="00690D8A"/>
    <w:rsid w:val="006A1B42"/>
    <w:rsid w:val="006A743B"/>
    <w:rsid w:val="006C4E4C"/>
    <w:rsid w:val="006E3349"/>
    <w:rsid w:val="006F52D2"/>
    <w:rsid w:val="00701031"/>
    <w:rsid w:val="00706B48"/>
    <w:rsid w:val="00732F18"/>
    <w:rsid w:val="0073725B"/>
    <w:rsid w:val="00750DF5"/>
    <w:rsid w:val="00762464"/>
    <w:rsid w:val="00792CF8"/>
    <w:rsid w:val="007946C1"/>
    <w:rsid w:val="00797049"/>
    <w:rsid w:val="007A4175"/>
    <w:rsid w:val="007B3B25"/>
    <w:rsid w:val="007C3E54"/>
    <w:rsid w:val="007D7256"/>
    <w:rsid w:val="007F6887"/>
    <w:rsid w:val="0080136A"/>
    <w:rsid w:val="00814DD8"/>
    <w:rsid w:val="008179FD"/>
    <w:rsid w:val="008207E6"/>
    <w:rsid w:val="00821B31"/>
    <w:rsid w:val="00835490"/>
    <w:rsid w:val="0084016C"/>
    <w:rsid w:val="00840E0A"/>
    <w:rsid w:val="00845DE7"/>
    <w:rsid w:val="00861811"/>
    <w:rsid w:val="00866513"/>
    <w:rsid w:val="0087290B"/>
    <w:rsid w:val="0088782B"/>
    <w:rsid w:val="00890EA6"/>
    <w:rsid w:val="008C7499"/>
    <w:rsid w:val="008E0616"/>
    <w:rsid w:val="008F1C98"/>
    <w:rsid w:val="008F6407"/>
    <w:rsid w:val="009053C8"/>
    <w:rsid w:val="00935FD4"/>
    <w:rsid w:val="00954CE3"/>
    <w:rsid w:val="00970520"/>
    <w:rsid w:val="00981357"/>
    <w:rsid w:val="00992721"/>
    <w:rsid w:val="00995C1B"/>
    <w:rsid w:val="009A19DA"/>
    <w:rsid w:val="009A1D11"/>
    <w:rsid w:val="009B1522"/>
    <w:rsid w:val="009B43E4"/>
    <w:rsid w:val="009D525B"/>
    <w:rsid w:val="009D53F8"/>
    <w:rsid w:val="009E6F47"/>
    <w:rsid w:val="009F5E53"/>
    <w:rsid w:val="00A02905"/>
    <w:rsid w:val="00A05AB3"/>
    <w:rsid w:val="00A06F06"/>
    <w:rsid w:val="00A16D02"/>
    <w:rsid w:val="00A27368"/>
    <w:rsid w:val="00A34580"/>
    <w:rsid w:val="00A617C4"/>
    <w:rsid w:val="00A63D10"/>
    <w:rsid w:val="00A820E9"/>
    <w:rsid w:val="00A8417F"/>
    <w:rsid w:val="00AA51BE"/>
    <w:rsid w:val="00AB2681"/>
    <w:rsid w:val="00AB4DBC"/>
    <w:rsid w:val="00AC50D3"/>
    <w:rsid w:val="00AE4A1C"/>
    <w:rsid w:val="00AE7A57"/>
    <w:rsid w:val="00AF64A4"/>
    <w:rsid w:val="00B07BA7"/>
    <w:rsid w:val="00B12E9E"/>
    <w:rsid w:val="00B13A72"/>
    <w:rsid w:val="00B2296C"/>
    <w:rsid w:val="00B451BC"/>
    <w:rsid w:val="00B55852"/>
    <w:rsid w:val="00B60C3C"/>
    <w:rsid w:val="00B61B9A"/>
    <w:rsid w:val="00B64AC8"/>
    <w:rsid w:val="00B763D3"/>
    <w:rsid w:val="00B76D1C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55026"/>
    <w:rsid w:val="00C56832"/>
    <w:rsid w:val="00C66E46"/>
    <w:rsid w:val="00C740AF"/>
    <w:rsid w:val="00C91EB2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F5F3A"/>
    <w:rsid w:val="00CF6FC8"/>
    <w:rsid w:val="00D06693"/>
    <w:rsid w:val="00D3269D"/>
    <w:rsid w:val="00D358FC"/>
    <w:rsid w:val="00D40554"/>
    <w:rsid w:val="00D43A87"/>
    <w:rsid w:val="00D46A65"/>
    <w:rsid w:val="00D5176A"/>
    <w:rsid w:val="00DA0FF8"/>
    <w:rsid w:val="00DA641C"/>
    <w:rsid w:val="00DB2A67"/>
    <w:rsid w:val="00DB47AA"/>
    <w:rsid w:val="00DB6A22"/>
    <w:rsid w:val="00DC08DE"/>
    <w:rsid w:val="00DD2B26"/>
    <w:rsid w:val="00DD3A0C"/>
    <w:rsid w:val="00DF6903"/>
    <w:rsid w:val="00E11DC5"/>
    <w:rsid w:val="00E141C1"/>
    <w:rsid w:val="00E211B2"/>
    <w:rsid w:val="00E242F0"/>
    <w:rsid w:val="00E248EC"/>
    <w:rsid w:val="00E3175F"/>
    <w:rsid w:val="00E3443C"/>
    <w:rsid w:val="00E477E6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783F"/>
    <w:rsid w:val="00EE6381"/>
    <w:rsid w:val="00EF6F5C"/>
    <w:rsid w:val="00F00520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764E0"/>
    <w:rsid w:val="00FB56AD"/>
    <w:rsid w:val="00FC08C3"/>
    <w:rsid w:val="00FC278B"/>
    <w:rsid w:val="00FC2FE3"/>
    <w:rsid w:val="00FC350A"/>
    <w:rsid w:val="00FE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E99D2-9A12-4AFD-B550-10F6187E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2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jlobe</cp:lastModifiedBy>
  <cp:revision>178</cp:revision>
  <dcterms:created xsi:type="dcterms:W3CDTF">2014-01-23T19:15:00Z</dcterms:created>
  <dcterms:modified xsi:type="dcterms:W3CDTF">2015-02-16T18:11:00Z</dcterms:modified>
</cp:coreProperties>
</file>