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649" w:rsidRDefault="00B556F8" w:rsidP="00311C8F">
      <w:pPr>
        <w:rPr>
          <w:rFonts w:ascii="Eras Medium ITC" w:eastAsia="Times New Roman" w:hAnsi="Eras Medium ITC" w:cs="Times New Roman"/>
          <w:szCs w:val="24"/>
        </w:rPr>
      </w:pPr>
      <w:r>
        <w:tab/>
      </w:r>
      <w:r>
        <w:tab/>
      </w:r>
      <w:r>
        <w:tab/>
      </w:r>
      <w:r>
        <w:tab/>
      </w:r>
      <w:r>
        <w:tab/>
      </w:r>
      <w:r>
        <w:tab/>
      </w:r>
      <w:r>
        <w:tab/>
      </w:r>
      <w:r>
        <w:tab/>
      </w:r>
      <w:r>
        <w:tab/>
      </w:r>
      <w:r w:rsidRPr="00B556F8">
        <w:rPr>
          <w:rFonts w:ascii="Eras Medium ITC" w:eastAsia="Times New Roman" w:hAnsi="Eras Medium ITC" w:cs="Times New Roman"/>
          <w:szCs w:val="24"/>
        </w:rPr>
        <w:t xml:space="preserve">      </w:t>
      </w:r>
    </w:p>
    <w:p w:rsidR="000A3164" w:rsidRPr="000E77E0" w:rsidRDefault="000E77E0" w:rsidP="000E77E0">
      <w:pPr>
        <w:pStyle w:val="Titre1"/>
        <w:jc w:val="center"/>
        <w:rPr>
          <w:rFonts w:ascii="Bookman Old Style" w:eastAsia="Times New Roman" w:hAnsi="Bookman Old Style" w:cs="Tahoma"/>
          <w:color w:val="auto"/>
          <w:sz w:val="24"/>
        </w:rPr>
      </w:pPr>
      <w:r w:rsidRPr="000E77E0">
        <w:rPr>
          <w:rFonts w:ascii="Bookman Old Style" w:eastAsia="Times New Roman" w:hAnsi="Bookman Old Style"/>
          <w:color w:val="auto"/>
        </w:rPr>
        <w:t>PROCEDURE VISANT LA GES</w:t>
      </w:r>
      <w:r w:rsidR="008C5B12">
        <w:rPr>
          <w:rFonts w:ascii="Bookman Old Style" w:eastAsia="Times New Roman" w:hAnsi="Bookman Old Style"/>
          <w:color w:val="auto"/>
        </w:rPr>
        <w:t>TION DES ENTREES ET SORTIES</w:t>
      </w:r>
    </w:p>
    <w:p w:rsidR="00286A4D" w:rsidRDefault="00286A4D" w:rsidP="00286A4D">
      <w:pPr>
        <w:tabs>
          <w:tab w:val="left" w:pos="5954"/>
        </w:tabs>
        <w:spacing w:after="0" w:line="240" w:lineRule="auto"/>
        <w:rPr>
          <w:rFonts w:ascii="Copperplate Gothic Bold" w:eastAsia="Times New Roman" w:hAnsi="Copperplate Gothic Bold" w:cs="Tahoma"/>
          <w:sz w:val="24"/>
          <w:szCs w:val="24"/>
        </w:rPr>
      </w:pPr>
    </w:p>
    <w:p w:rsidR="00286A4D" w:rsidRDefault="00286A4D" w:rsidP="00286A4D">
      <w:pPr>
        <w:tabs>
          <w:tab w:val="left" w:pos="5954"/>
        </w:tabs>
        <w:spacing w:after="0" w:line="240" w:lineRule="auto"/>
        <w:rPr>
          <w:rFonts w:ascii="Copperplate Gothic Bold" w:eastAsia="Times New Roman" w:hAnsi="Copperplate Gothic Bold" w:cs="Tahoma"/>
          <w:sz w:val="24"/>
          <w:szCs w:val="24"/>
        </w:rPr>
      </w:pPr>
      <w:r>
        <w:rPr>
          <w:rFonts w:ascii="Copperplate Gothic Bold" w:eastAsia="Times New Roman" w:hAnsi="Copperplate Gothic Bold" w:cs="Tahoma"/>
          <w:noProof/>
          <w:sz w:val="24"/>
          <w:szCs w:val="24"/>
          <w:lang w:eastAsia="fr-FR"/>
        </w:rPr>
        <mc:AlternateContent>
          <mc:Choice Requires="wps">
            <w:drawing>
              <wp:anchor distT="0" distB="0" distL="114300" distR="114300" simplePos="0" relativeHeight="251657728" behindDoc="0" locked="0" layoutInCell="1" allowOverlap="1">
                <wp:simplePos x="0" y="0"/>
                <wp:positionH relativeFrom="column">
                  <wp:posOffset>9253</wp:posOffset>
                </wp:positionH>
                <wp:positionV relativeFrom="paragraph">
                  <wp:posOffset>67219</wp:posOffset>
                </wp:positionV>
                <wp:extent cx="2644684" cy="942975"/>
                <wp:effectExtent l="0" t="0" r="22860" b="28575"/>
                <wp:wrapNone/>
                <wp:docPr id="1" name="Rectangle 1"/>
                <wp:cNvGraphicFramePr/>
                <a:graphic xmlns:a="http://schemas.openxmlformats.org/drawingml/2006/main">
                  <a:graphicData uri="http://schemas.microsoft.com/office/word/2010/wordprocessingShape">
                    <wps:wsp>
                      <wps:cNvSpPr/>
                      <wps:spPr>
                        <a:xfrm>
                          <a:off x="0" y="0"/>
                          <a:ext cx="2644684" cy="942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286A4D" w:rsidRPr="00286A4D" w:rsidRDefault="00286A4D" w:rsidP="00F43CCB">
                            <w:pPr>
                              <w:jc w:val="center"/>
                              <w:rPr>
                                <w:rFonts w:ascii="Cambria" w:hAnsi="Cambria"/>
                                <w:sz w:val="24"/>
                                <w:szCs w:val="24"/>
                              </w:rPr>
                            </w:pPr>
                            <w:r w:rsidRPr="00286A4D">
                              <w:rPr>
                                <w:rFonts w:ascii="Bookman Old Style" w:hAnsi="Bookman Old Style"/>
                                <w:b/>
                              </w:rPr>
                              <w:t>Responsable de la Politique</w:t>
                            </w:r>
                            <w:r>
                              <w:t xml:space="preserve"> : </w:t>
                            </w:r>
                            <w:r w:rsidRPr="00286A4D">
                              <w:rPr>
                                <w:rFonts w:ascii="Cambria" w:hAnsi="Cambria"/>
                                <w:sz w:val="24"/>
                                <w:szCs w:val="24"/>
                              </w:rPr>
                              <w:t>KODJA Bicas Amen</w:t>
                            </w:r>
                            <w:r w:rsidRPr="00286A4D">
                              <w:rPr>
                                <w:rFonts w:ascii="Cambria" w:hAnsi="Cambria"/>
                                <w:sz w:val="24"/>
                                <w:szCs w:val="24"/>
                              </w:rPr>
                              <w:br/>
                              <w:t>Administrateur Réseau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5pt;margin-top:5.3pt;width:208.25pt;height: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" fillcolor="white [3201]" strokecolor="#c0504d [3205]" strokeweight="2pt">
                <v:textbox>
                  <w:txbxContent>
                    <w:p w:rsidR="00286A4D" w:rsidRPr="00286A4D" w:rsidRDefault="00286A4D" w:rsidP="00F43CCB">
                      <w:pPr>
                        <w:jc w:val="center"/>
                        <w:rPr>
                          <w:rFonts w:ascii="Cambria" w:hAnsi="Cambria"/>
                          <w:sz w:val="24"/>
                          <w:szCs w:val="24"/>
                        </w:rPr>
                      </w:pPr>
                      <w:r w:rsidRPr="00286A4D">
                        <w:rPr>
                          <w:rFonts w:ascii="Bookman Old Style" w:hAnsi="Bookman Old Style"/>
                          <w:b/>
                        </w:rPr>
                        <w:t>Responsable de la Politique</w:t>
                      </w:r>
                      <w:r>
                        <w:t xml:space="preserve"> : </w:t>
                      </w:r>
                      <w:r w:rsidRPr="00286A4D">
                        <w:rPr>
                          <w:rFonts w:ascii="Cambria" w:hAnsi="Cambria"/>
                          <w:sz w:val="24"/>
                          <w:szCs w:val="24"/>
                        </w:rPr>
                        <w:t>KODJA Bicas Amen</w:t>
                      </w:r>
                      <w:r w:rsidRPr="00286A4D">
                        <w:rPr>
                          <w:rFonts w:ascii="Cambria" w:hAnsi="Cambria"/>
                          <w:sz w:val="24"/>
                          <w:szCs w:val="24"/>
                        </w:rPr>
                        <w:br/>
                        <w:t>Administrateur Réseau Sécurité</w:t>
                      </w:r>
                    </w:p>
                  </w:txbxContent>
                </v:textbox>
              </v:rect>
            </w:pict>
          </mc:Fallback>
        </mc:AlternateContent>
      </w:r>
      <w:r>
        <w:rPr>
          <w:rFonts w:ascii="Copperplate Gothic Bold" w:eastAsia="Times New Roman" w:hAnsi="Copperplate Gothic Bold" w:cs="Tahoma"/>
          <w:noProof/>
          <w:sz w:val="24"/>
          <w:szCs w:val="24"/>
          <w:lang w:eastAsia="fr-FR"/>
        </w:rPr>
        <mc:AlternateContent>
          <mc:Choice Requires="wps">
            <w:drawing>
              <wp:anchor distT="0" distB="0" distL="114300" distR="114300" simplePos="0" relativeHeight="251662848" behindDoc="0" locked="0" layoutInCell="1" allowOverlap="1" wp14:anchorId="54503D39" wp14:editId="2549A680">
                <wp:simplePos x="0" y="0"/>
                <wp:positionH relativeFrom="column">
                  <wp:posOffset>3270885</wp:posOffset>
                </wp:positionH>
                <wp:positionV relativeFrom="paragraph">
                  <wp:posOffset>68580</wp:posOffset>
                </wp:positionV>
                <wp:extent cx="2667000" cy="9429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667000" cy="942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286A4D" w:rsidRPr="00286A4D" w:rsidRDefault="00286A4D" w:rsidP="0071254A">
                            <w:pPr>
                              <w:jc w:val="center"/>
                              <w:rPr>
                                <w:rFonts w:ascii="Cambria" w:hAnsi="Cambria"/>
                                <w:sz w:val="24"/>
                                <w:szCs w:val="24"/>
                              </w:rPr>
                            </w:pPr>
                            <w:r>
                              <w:rPr>
                                <w:rFonts w:ascii="Bookman Old Style" w:hAnsi="Bookman Old Style"/>
                                <w:b/>
                              </w:rPr>
                              <w:t>Date d’entrée en vigueur</w:t>
                            </w:r>
                            <w:r>
                              <w:t> :</w:t>
                            </w:r>
                          </w:p>
                          <w:p w:rsidR="00286A4D" w:rsidRPr="0071254A" w:rsidRDefault="0071254A" w:rsidP="00286A4D">
                            <w:pPr>
                              <w:jc w:val="center"/>
                              <w:rPr>
                                <w:rFonts w:ascii="Cambria" w:hAnsi="Cambria"/>
                                <w:sz w:val="24"/>
                                <w:szCs w:val="24"/>
                              </w:rPr>
                            </w:pPr>
                            <w:r w:rsidRPr="0071254A">
                              <w:rPr>
                                <w:rFonts w:ascii="Cambria" w:hAnsi="Cambria"/>
                                <w:sz w:val="24"/>
                                <w:szCs w:val="24"/>
                              </w:rPr>
                              <w:t>01/03/2022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503D39" id="Rectangle 2" o:spid="_x0000_s1027" style="position:absolute;margin-left:257.55pt;margin-top:5.4pt;width:210pt;height:74.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" fillcolor="white [3201]" strokecolor="#c0504d [3205]" strokeweight="2pt">
                <v:textbox>
                  <w:txbxContent>
                    <w:p w:rsidR="00286A4D" w:rsidRPr="00286A4D" w:rsidRDefault="00286A4D" w:rsidP="0071254A">
                      <w:pPr>
                        <w:jc w:val="center"/>
                        <w:rPr>
                          <w:rFonts w:ascii="Cambria" w:hAnsi="Cambria"/>
                          <w:sz w:val="24"/>
                          <w:szCs w:val="24"/>
                        </w:rPr>
                      </w:pPr>
                      <w:r>
                        <w:rPr>
                          <w:rFonts w:ascii="Bookman Old Style" w:hAnsi="Bookman Old Style"/>
                          <w:b/>
                        </w:rPr>
                        <w:t>Date d’entrée en vigueur</w:t>
                      </w:r>
                      <w:r>
                        <w:t> :</w:t>
                      </w:r>
                    </w:p>
                    <w:p w:rsidR="00286A4D" w:rsidRPr="0071254A" w:rsidRDefault="0071254A" w:rsidP="00286A4D">
                      <w:pPr>
                        <w:jc w:val="center"/>
                        <w:rPr>
                          <w:rFonts w:ascii="Cambria" w:hAnsi="Cambria"/>
                          <w:sz w:val="24"/>
                          <w:szCs w:val="24"/>
                        </w:rPr>
                      </w:pPr>
                      <w:r w:rsidRPr="0071254A">
                        <w:rPr>
                          <w:rFonts w:ascii="Cambria" w:hAnsi="Cambria"/>
                          <w:sz w:val="24"/>
                          <w:szCs w:val="24"/>
                        </w:rPr>
                        <w:t>01/03/2022</w:t>
                      </w:r>
                    </w:p>
                  </w:txbxContent>
                </v:textbox>
              </v:rect>
            </w:pict>
          </mc:Fallback>
        </mc:AlternateContent>
      </w:r>
    </w:p>
    <w:p w:rsidR="00286A4D" w:rsidRPr="00B556F8" w:rsidRDefault="00286A4D" w:rsidP="00286A4D">
      <w:pPr>
        <w:tabs>
          <w:tab w:val="left" w:pos="5954"/>
        </w:tabs>
        <w:spacing w:after="0" w:line="240" w:lineRule="auto"/>
        <w:rPr>
          <w:rFonts w:ascii="Copperplate Gothic Bold" w:eastAsia="Times New Roman" w:hAnsi="Copperplate Gothic Bold" w:cs="Tahoma"/>
          <w:sz w:val="24"/>
          <w:szCs w:val="24"/>
        </w:rPr>
      </w:pPr>
    </w:p>
    <w:p w:rsidR="00C35F03" w:rsidRDefault="00C35F03" w:rsidP="00286A4D"/>
    <w:p w:rsidR="00286A4D" w:rsidRDefault="00286A4D" w:rsidP="00286A4D"/>
    <w:p w:rsidR="00286A4D" w:rsidRDefault="00286A4D" w:rsidP="00286A4D"/>
    <w:p w:rsidR="00286A4D" w:rsidRDefault="00C35F03" w:rsidP="00286A4D">
      <w:pPr>
        <w:pStyle w:val="Titre2"/>
        <w:numPr>
          <w:ilvl w:val="0"/>
          <w:numId w:val="6"/>
        </w:numPr>
        <w:rPr>
          <w:color w:val="943634" w:themeColor="accent2" w:themeShade="BF"/>
        </w:rPr>
      </w:pPr>
      <w:r w:rsidRPr="00286A4D">
        <w:rPr>
          <w:color w:val="943634" w:themeColor="accent2" w:themeShade="BF"/>
        </w:rPr>
        <w:t>OBJECTIF</w:t>
      </w:r>
      <w:r w:rsidR="00286A4D" w:rsidRPr="00286A4D">
        <w:rPr>
          <w:color w:val="943634" w:themeColor="accent2" w:themeShade="BF"/>
        </w:rPr>
        <w:t>S</w:t>
      </w:r>
    </w:p>
    <w:p w:rsidR="00177E8C" w:rsidRPr="00807769" w:rsidRDefault="00177E8C" w:rsidP="005207EA">
      <w:pPr>
        <w:spacing w:line="360" w:lineRule="auto"/>
        <w:jc w:val="both"/>
        <w:rPr>
          <w:rFonts w:ascii="Cambria" w:hAnsi="Cambria"/>
          <w:sz w:val="24"/>
          <w:szCs w:val="24"/>
        </w:rPr>
      </w:pPr>
      <w:r w:rsidRPr="00177E8C">
        <w:rPr>
          <w:rFonts w:ascii="Cambria" w:hAnsi="Cambria"/>
          <w:sz w:val="24"/>
          <w:szCs w:val="24"/>
        </w:rPr>
        <w:t>L’objectif de cette procédure, dont la responsabilité globale dépend logiquement des Ressources Humaines, est de pouvoir confirmer que tous les employés présents dans l’entreprise sont bien ceux qui ont signés un contrat et sont employés par celle-ci. Les auditeurs externes mettent souvent en évidence un écart à un instant « t », entre la liste des employés de la RH et celle des employés « actifs » dans les systèmes d’information et possédant un ou plusieurs droits d’accès aux SI.</w:t>
      </w:r>
    </w:p>
    <w:p w:rsidR="00D32F5E" w:rsidRPr="00177E8C" w:rsidRDefault="00177E8C" w:rsidP="00177E8C">
      <w:pPr>
        <w:pStyle w:val="Titre2"/>
        <w:numPr>
          <w:ilvl w:val="0"/>
          <w:numId w:val="6"/>
        </w:numPr>
        <w:rPr>
          <w:color w:val="943634" w:themeColor="accent2" w:themeShade="BF"/>
        </w:rPr>
      </w:pPr>
      <w:r>
        <w:rPr>
          <w:color w:val="943634" w:themeColor="accent2" w:themeShade="BF"/>
        </w:rPr>
        <w:t>CONSTAT</w:t>
      </w:r>
    </w:p>
    <w:p w:rsidR="00177E8C" w:rsidRPr="00D32F5E" w:rsidRDefault="00177E8C" w:rsidP="00D32F5E">
      <w:pPr>
        <w:spacing w:line="360" w:lineRule="auto"/>
        <w:jc w:val="both"/>
        <w:rPr>
          <w:rFonts w:ascii="Cambria" w:hAnsi="Cambria"/>
          <w:sz w:val="24"/>
          <w:szCs w:val="24"/>
        </w:rPr>
      </w:pPr>
      <w:r w:rsidRPr="00177E8C">
        <w:rPr>
          <w:rFonts w:ascii="Cambria" w:hAnsi="Cambria"/>
          <w:sz w:val="24"/>
          <w:szCs w:val="24"/>
        </w:rPr>
        <w:t>La complexité de cette procédure est fonction du nombre d’employés de l’entreprise. Au-delà d’une cinquantaine d’employés sur un même site, il peut y avoir un écart … souvent corrigé à la fin du mois dans le cadre de la procédure de paie des employés. Cependant, pour des raisons de simplicité de fonctionnement, il arrive que le compte d’un employé ayant quitté l’entreprise soit maintenue pour faciliter les procédures internes. Parfois même, le manager n’informe pas l’informatique du départ d’un salari</w:t>
      </w:r>
      <w:r>
        <w:rPr>
          <w:rFonts w:ascii="Cambria" w:hAnsi="Cambria"/>
          <w:sz w:val="24"/>
          <w:szCs w:val="24"/>
        </w:rPr>
        <w:t>é</w:t>
      </w:r>
      <w:r w:rsidRPr="00177E8C">
        <w:rPr>
          <w:rFonts w:ascii="Cambria" w:hAnsi="Cambria"/>
          <w:sz w:val="24"/>
          <w:szCs w:val="24"/>
        </w:rPr>
        <w:t> espérant pouvoir régulariser la situation rapidement. Enfin, pour les changements / mutations en interne (transfert d’un département à l’autre ou changement de fonction), les Ressources Humaines ne sont pas régulièrement informées.</w:t>
      </w:r>
    </w:p>
    <w:p w:rsidR="00FB5C81" w:rsidRDefault="00177E8C" w:rsidP="00FB5C81">
      <w:pPr>
        <w:pStyle w:val="Titre2"/>
        <w:numPr>
          <w:ilvl w:val="0"/>
          <w:numId w:val="6"/>
        </w:numPr>
        <w:rPr>
          <w:color w:val="943634" w:themeColor="accent2" w:themeShade="BF"/>
        </w:rPr>
      </w:pPr>
      <w:r>
        <w:rPr>
          <w:color w:val="943634" w:themeColor="accent2" w:themeShade="BF"/>
        </w:rPr>
        <w:t>RISQUES</w:t>
      </w:r>
    </w:p>
    <w:p w:rsidR="00177E8C" w:rsidRPr="00177E8C" w:rsidRDefault="00177E8C" w:rsidP="00177E8C">
      <w:pPr>
        <w:rPr>
          <w:rFonts w:ascii="Cambria" w:hAnsi="Cambria"/>
          <w:sz w:val="24"/>
          <w:szCs w:val="24"/>
        </w:rPr>
      </w:pPr>
      <w:r w:rsidRPr="00177E8C">
        <w:rPr>
          <w:rFonts w:ascii="Cambria" w:hAnsi="Cambria"/>
          <w:sz w:val="24"/>
          <w:szCs w:val="24"/>
        </w:rPr>
        <w:t>Les risques relatifs à une mauvaise gestion de la cohérence des listes des employés et de la liste des droits d’accès aux Systèmes d’Information sont :</w:t>
      </w:r>
    </w:p>
    <w:p w:rsidR="00177E8C" w:rsidRDefault="00177E8C" w:rsidP="000A1770">
      <w:pPr>
        <w:spacing w:line="360" w:lineRule="auto"/>
        <w:jc w:val="both"/>
        <w:rPr>
          <w:rFonts w:ascii="Cambria" w:hAnsi="Cambria"/>
          <w:sz w:val="24"/>
          <w:szCs w:val="24"/>
        </w:rPr>
      </w:pPr>
      <w:r>
        <w:rPr>
          <w:rFonts w:ascii="Cambria" w:hAnsi="Cambria"/>
          <w:b/>
          <w:sz w:val="24"/>
          <w:szCs w:val="24"/>
        </w:rPr>
        <w:t>Sécurité physique</w:t>
      </w:r>
      <w:r w:rsidR="000A1770" w:rsidRPr="000A1770">
        <w:rPr>
          <w:rFonts w:ascii="Cambria" w:hAnsi="Cambria"/>
          <w:sz w:val="24"/>
          <w:szCs w:val="24"/>
        </w:rPr>
        <w:t> :</w:t>
      </w:r>
      <w:r w:rsidR="00A87CE4">
        <w:rPr>
          <w:rFonts w:ascii="Cambria" w:hAnsi="Cambria"/>
          <w:sz w:val="24"/>
          <w:szCs w:val="24"/>
        </w:rPr>
        <w:t xml:space="preserve"> u</w:t>
      </w:r>
      <w:r w:rsidRPr="00A87CE4">
        <w:rPr>
          <w:rFonts w:ascii="Cambria" w:hAnsi="Cambria"/>
          <w:sz w:val="24"/>
          <w:szCs w:val="24"/>
        </w:rPr>
        <w:t>ne personne pourrait utiliser un badge d’un employé ayant quitté l’entreprise pour effectuer des actes de fraude, vols d’effets personnels, vols de propriété intellectuelle, usurpation d’identité et en cas d’incendie, faire prendre des risques à des secouristes pour une personne qui n’est pas dans l’entreprise ou encore de provoquer un conflit avec l’assurance suite à la présence d’une personne non déclarée, …</w:t>
      </w:r>
    </w:p>
    <w:p w:rsidR="006B28F4" w:rsidRDefault="006B28F4" w:rsidP="000A1770">
      <w:pPr>
        <w:spacing w:line="360" w:lineRule="auto"/>
        <w:jc w:val="both"/>
        <w:rPr>
          <w:rFonts w:ascii="Cambria" w:hAnsi="Cambria"/>
          <w:sz w:val="24"/>
          <w:szCs w:val="24"/>
        </w:rPr>
      </w:pPr>
    </w:p>
    <w:p w:rsidR="00A87CE4" w:rsidRDefault="00A87CE4" w:rsidP="000A1770">
      <w:pPr>
        <w:spacing w:line="360" w:lineRule="auto"/>
        <w:jc w:val="both"/>
        <w:rPr>
          <w:rFonts w:ascii="Cambria" w:hAnsi="Cambria"/>
          <w:sz w:val="24"/>
          <w:szCs w:val="24"/>
        </w:rPr>
      </w:pPr>
    </w:p>
    <w:p w:rsidR="008C5B12" w:rsidRDefault="008C5B12" w:rsidP="00861F56">
      <w:pPr>
        <w:spacing w:line="360" w:lineRule="auto"/>
        <w:jc w:val="both"/>
        <w:rPr>
          <w:rFonts w:ascii="Cambria" w:hAnsi="Cambria"/>
          <w:sz w:val="24"/>
          <w:szCs w:val="24"/>
        </w:rPr>
      </w:pPr>
      <w:r>
        <w:rPr>
          <w:rFonts w:ascii="Cambria" w:hAnsi="Cambria"/>
          <w:b/>
          <w:sz w:val="24"/>
          <w:szCs w:val="24"/>
        </w:rPr>
        <w:t>Sécurité logique</w:t>
      </w:r>
      <w:r w:rsidR="004C23D0">
        <w:rPr>
          <w:rFonts w:ascii="Cambria" w:hAnsi="Cambria"/>
          <w:sz w:val="24"/>
          <w:szCs w:val="24"/>
        </w:rPr>
        <w:t xml:space="preserve"> : </w:t>
      </w:r>
      <w:r>
        <w:rPr>
          <w:rFonts w:ascii="Cambria" w:hAnsi="Cambria"/>
          <w:sz w:val="24"/>
          <w:szCs w:val="24"/>
        </w:rPr>
        <w:t>u</w:t>
      </w:r>
      <w:r>
        <w:rPr>
          <w:rFonts w:ascii="Cambria" w:hAnsi="Cambria"/>
          <w:sz w:val="24"/>
          <w:szCs w:val="24"/>
        </w:rPr>
        <w:t>surpation d’identité/profil informatique pour bypasser les contrôles anti-fraude, effectuer des transactions engageant la responsabilité d’une personne inexistante dans l’entreprise.</w:t>
      </w:r>
    </w:p>
    <w:p w:rsidR="00C15549" w:rsidRDefault="008C5B12" w:rsidP="008C5B12">
      <w:pPr>
        <w:spacing w:line="360" w:lineRule="auto"/>
        <w:jc w:val="both"/>
        <w:rPr>
          <w:rFonts w:ascii="Cambria" w:hAnsi="Cambria"/>
          <w:sz w:val="24"/>
          <w:szCs w:val="24"/>
        </w:rPr>
      </w:pPr>
      <w:r>
        <w:rPr>
          <w:rFonts w:ascii="Cambria" w:hAnsi="Cambria"/>
          <w:b/>
          <w:sz w:val="24"/>
          <w:szCs w:val="24"/>
        </w:rPr>
        <w:t>Sécurité informationnelle</w:t>
      </w:r>
      <w:r>
        <w:rPr>
          <w:rFonts w:ascii="Cambria" w:hAnsi="Cambria"/>
          <w:sz w:val="24"/>
          <w:szCs w:val="24"/>
        </w:rPr>
        <w:t> : cas d’une personne usurpant une identité d’un employé pour communiquer des fausses informations à l’extérieur de l’entreprise.</w:t>
      </w:r>
    </w:p>
    <w:p w:rsidR="00BF3B99" w:rsidRPr="008C5B12" w:rsidRDefault="008C5B12" w:rsidP="008C5B12">
      <w:pPr>
        <w:spacing w:line="360" w:lineRule="auto"/>
        <w:jc w:val="both"/>
        <w:rPr>
          <w:rFonts w:ascii="Cambria" w:hAnsi="Cambria"/>
          <w:sz w:val="24"/>
          <w:szCs w:val="24"/>
        </w:rPr>
      </w:pPr>
      <w:r>
        <w:rPr>
          <w:rFonts w:ascii="Cambria" w:hAnsi="Cambria"/>
          <w:sz w:val="24"/>
          <w:szCs w:val="24"/>
        </w:rPr>
        <w:t>Les cas sont nombreux et peuvent porter un préjudice fort à l’entreprise. Le contrôle de cette procédure est donc primordial … mais est aussi compliquée car trois acteurs au moins, RH, Systèmes d’Informations et Responsable  des Opérations sont co-responsables de ce risque.</w:t>
      </w:r>
      <w:r w:rsidR="00861F56" w:rsidRPr="008C5B12">
        <w:rPr>
          <w:rFonts w:ascii="Cambria" w:hAnsi="Cambria"/>
          <w:sz w:val="24"/>
          <w:szCs w:val="24"/>
        </w:rPr>
        <w:t xml:space="preserve"> </w:t>
      </w:r>
    </w:p>
    <w:p w:rsidR="005E13D9" w:rsidRDefault="005E13D9" w:rsidP="00286A4D">
      <w:pPr>
        <w:pStyle w:val="Titre2"/>
        <w:numPr>
          <w:ilvl w:val="0"/>
          <w:numId w:val="6"/>
        </w:numPr>
        <w:rPr>
          <w:color w:val="943634" w:themeColor="accent2" w:themeShade="BF"/>
        </w:rPr>
      </w:pPr>
      <w:r>
        <w:rPr>
          <w:color w:val="943634" w:themeColor="accent2" w:themeShade="BF"/>
        </w:rPr>
        <w:t>PROCEDURE</w:t>
      </w:r>
    </w:p>
    <w:p w:rsidR="00774CBB" w:rsidRPr="00953E57" w:rsidRDefault="008C5B12" w:rsidP="00774CBB">
      <w:pPr>
        <w:pStyle w:val="Titre3"/>
        <w:numPr>
          <w:ilvl w:val="1"/>
          <w:numId w:val="6"/>
        </w:numPr>
        <w:rPr>
          <w:b/>
          <w:color w:val="000000" w:themeColor="text1"/>
        </w:rPr>
      </w:pPr>
      <w:r>
        <w:rPr>
          <w:b/>
          <w:color w:val="000000" w:themeColor="text1"/>
        </w:rPr>
        <w:t>Gestion des entrées/admissions dans l’entreprise</w:t>
      </w:r>
    </w:p>
    <w:p w:rsidR="0035407B" w:rsidRDefault="008C5B12" w:rsidP="008C5B12">
      <w:pPr>
        <w:spacing w:line="360" w:lineRule="auto"/>
        <w:jc w:val="both"/>
        <w:rPr>
          <w:rFonts w:ascii="Cambria" w:hAnsi="Cambria"/>
          <w:sz w:val="24"/>
          <w:szCs w:val="24"/>
        </w:rPr>
      </w:pPr>
      <w:r w:rsidRPr="008C5B12">
        <w:rPr>
          <w:rFonts w:ascii="Cambria" w:hAnsi="Cambria"/>
          <w:sz w:val="24"/>
          <w:szCs w:val="24"/>
        </w:rPr>
        <w:t>Cette procédure a comme point de départ le processus de recrutement. En effet, avant l’admission d’un nouvel employé, il est nécessaire de noter des informations le concernant. Il est préférable d’utiliser les systèmes d’information R</w:t>
      </w:r>
      <w:r>
        <w:rPr>
          <w:rFonts w:ascii="Cambria" w:hAnsi="Cambria"/>
          <w:sz w:val="24"/>
          <w:szCs w:val="24"/>
        </w:rPr>
        <w:t xml:space="preserve">H </w:t>
      </w:r>
      <w:r w:rsidRPr="008C5B12">
        <w:rPr>
          <w:rFonts w:ascii="Cambria" w:hAnsi="Cambria"/>
          <w:sz w:val="24"/>
          <w:szCs w:val="24"/>
        </w:rPr>
        <w:t> qui comportent de telles fonctionnalités et conservent de manière confidentielle les données à caractère personnel des candidats dans un premier temps de manière temporaire et des futurs employés</w:t>
      </w:r>
      <w:r>
        <w:rPr>
          <w:rFonts w:ascii="Cambria" w:hAnsi="Cambria"/>
          <w:sz w:val="24"/>
          <w:szCs w:val="24"/>
        </w:rPr>
        <w:t xml:space="preserve">. </w:t>
      </w:r>
      <w:r w:rsidRPr="008C5B12">
        <w:rPr>
          <w:rFonts w:ascii="Cambria" w:hAnsi="Cambria"/>
          <w:sz w:val="24"/>
          <w:szCs w:val="24"/>
        </w:rPr>
        <w:t xml:space="preserve">De même, le profil logique (accès aux SI) relatif aux applications dont l’employé aura accès devra être </w:t>
      </w:r>
      <w:r w:rsidRPr="008C5B12">
        <w:rPr>
          <w:rFonts w:ascii="Cambria" w:hAnsi="Cambria"/>
          <w:sz w:val="24"/>
          <w:szCs w:val="24"/>
        </w:rPr>
        <w:t>envoyé</w:t>
      </w:r>
      <w:r w:rsidRPr="008C5B12">
        <w:rPr>
          <w:rFonts w:ascii="Cambria" w:hAnsi="Cambria"/>
          <w:sz w:val="24"/>
          <w:szCs w:val="24"/>
        </w:rPr>
        <w:t xml:space="preserve"> par son manager et revu pa</w:t>
      </w:r>
      <w:r w:rsidRPr="008C5B12">
        <w:rPr>
          <w:rFonts w:ascii="Cambria" w:hAnsi="Cambria"/>
          <w:sz w:val="24"/>
          <w:szCs w:val="24"/>
        </w:rPr>
        <w:t xml:space="preserve">r les RH </w:t>
      </w:r>
      <w:r w:rsidRPr="008C5B12">
        <w:rPr>
          <w:rFonts w:ascii="Cambria" w:hAnsi="Cambria"/>
          <w:sz w:val="24"/>
          <w:szCs w:val="24"/>
        </w:rPr>
        <w:t>avant son arrivée pour lui permettre d’être efficace dès le premier jour</w:t>
      </w:r>
      <w:r w:rsidRPr="008C5B12">
        <w:rPr>
          <w:rFonts w:ascii="Cambria" w:hAnsi="Cambria"/>
          <w:sz w:val="24"/>
          <w:szCs w:val="24"/>
        </w:rPr>
        <w:t xml:space="preserve">. </w:t>
      </w:r>
      <w:r w:rsidRPr="008C5B12">
        <w:rPr>
          <w:rFonts w:ascii="Cambria" w:hAnsi="Cambria"/>
          <w:sz w:val="24"/>
          <w:szCs w:val="24"/>
        </w:rPr>
        <w:t xml:space="preserve">La revue des autorisations d’accès dans les SI aura pour objectif de respecter les règles de séparation de fonctions et réduire le risque </w:t>
      </w:r>
      <w:r w:rsidRPr="008C5B12">
        <w:rPr>
          <w:rFonts w:ascii="Cambria" w:hAnsi="Cambria"/>
          <w:sz w:val="24"/>
          <w:szCs w:val="24"/>
        </w:rPr>
        <w:t>de fraude. Cette revue est effectuée par</w:t>
      </w:r>
      <w:r w:rsidRPr="008C5B12">
        <w:rPr>
          <w:rFonts w:ascii="Cambria" w:hAnsi="Cambria"/>
          <w:sz w:val="24"/>
          <w:szCs w:val="24"/>
        </w:rPr>
        <w:t xml:space="preserve"> la Direction des Systèmes d’Information qui mettra à disposition de la RH, les droits d’accès constatés dans les Systèmes d’information</w:t>
      </w:r>
      <w:r w:rsidRPr="008C5B12">
        <w:rPr>
          <w:rFonts w:ascii="Cambria" w:hAnsi="Cambria"/>
          <w:sz w:val="24"/>
          <w:szCs w:val="24"/>
        </w:rPr>
        <w:t>s.</w:t>
      </w:r>
    </w:p>
    <w:p w:rsidR="006B28F4" w:rsidRDefault="006B28F4" w:rsidP="008C5B12">
      <w:pPr>
        <w:spacing w:line="360" w:lineRule="auto"/>
        <w:jc w:val="both"/>
        <w:rPr>
          <w:rFonts w:ascii="Cambria" w:hAnsi="Cambria"/>
          <w:sz w:val="24"/>
          <w:szCs w:val="24"/>
        </w:rPr>
      </w:pPr>
      <w:r w:rsidRPr="006B28F4">
        <w:rPr>
          <w:rFonts w:ascii="Cambria" w:hAnsi="Cambria"/>
          <w:sz w:val="24"/>
          <w:szCs w:val="24"/>
        </w:rPr>
        <w:t>Souvent en amont du premier jour d’arrivée dans l’entreprise, la signature du contrat de travail et du règlement intérieur auquel est annexée la charte informatique avec les recommandations et exigences de sécurité informatique, est importante et confirmera alors sa prise en charge vis-à-vis de l’assurance de l’employé.</w:t>
      </w:r>
      <w:r w:rsidRPr="006B28F4">
        <w:rPr>
          <w:rFonts w:ascii="Cambria" w:hAnsi="Cambria"/>
          <w:sz w:val="24"/>
          <w:szCs w:val="24"/>
        </w:rPr>
        <w:t xml:space="preserve"> En </w:t>
      </w:r>
      <w:r w:rsidRPr="006B28F4">
        <w:rPr>
          <w:rFonts w:ascii="Cambria" w:hAnsi="Cambria"/>
          <w:sz w:val="24"/>
          <w:szCs w:val="24"/>
        </w:rPr>
        <w:t xml:space="preserve">matière de </w:t>
      </w:r>
      <w:r w:rsidRPr="006B28F4">
        <w:rPr>
          <w:rFonts w:ascii="Cambria" w:hAnsi="Cambria"/>
          <w:sz w:val="24"/>
          <w:szCs w:val="24"/>
        </w:rPr>
        <w:t>cyber sécurit</w:t>
      </w:r>
      <w:r w:rsidRPr="006B28F4">
        <w:rPr>
          <w:rFonts w:ascii="Cambria" w:hAnsi="Cambria" w:hint="eastAsia"/>
          <w:sz w:val="24"/>
          <w:szCs w:val="24"/>
        </w:rPr>
        <w:t>é</w:t>
      </w:r>
      <w:r w:rsidRPr="006B28F4">
        <w:rPr>
          <w:rFonts w:ascii="Cambria" w:hAnsi="Cambria"/>
          <w:sz w:val="24"/>
          <w:szCs w:val="24"/>
        </w:rPr>
        <w:t>, un paragraphe dans la charte mais aussi dans</w:t>
      </w:r>
      <w:r w:rsidRPr="006B28F4">
        <w:rPr>
          <w:rFonts w:ascii="Cambria" w:hAnsi="Cambria"/>
          <w:sz w:val="24"/>
          <w:szCs w:val="24"/>
        </w:rPr>
        <w:t xml:space="preserve"> le contrat de travail précise</w:t>
      </w:r>
      <w:r w:rsidRPr="006B28F4">
        <w:rPr>
          <w:rFonts w:ascii="Cambria" w:hAnsi="Cambria"/>
          <w:sz w:val="24"/>
          <w:szCs w:val="24"/>
        </w:rPr>
        <w:t xml:space="preserve"> la notion de confidentialité des informations (les restrictions en matière de communication externe) et plus particulièrement la classification des documents. Enfin, à l’arrivée sur son poste de travail, son manager devra lui apporter les recommandations de sécurité physique nécessaires à la prise de fonctio</w:t>
      </w:r>
      <w:r w:rsidRPr="006B28F4">
        <w:rPr>
          <w:rFonts w:ascii="Cambria" w:hAnsi="Cambria"/>
          <w:sz w:val="24"/>
          <w:szCs w:val="24"/>
        </w:rPr>
        <w:t>n. Un badge</w:t>
      </w:r>
      <w:r w:rsidRPr="006B28F4">
        <w:rPr>
          <w:rFonts w:ascii="Cambria" w:hAnsi="Cambria"/>
          <w:sz w:val="24"/>
          <w:szCs w:val="24"/>
        </w:rPr>
        <w:t>, avec un périmètre de déplacement aura été définit et sera vérifié par le manager en présence de l’employé.</w:t>
      </w:r>
    </w:p>
    <w:p w:rsidR="006B28F4" w:rsidRDefault="006B28F4" w:rsidP="008C5B12">
      <w:pPr>
        <w:spacing w:line="360" w:lineRule="auto"/>
        <w:jc w:val="both"/>
        <w:rPr>
          <w:rFonts w:ascii="Cambria" w:hAnsi="Cambria"/>
          <w:sz w:val="24"/>
          <w:szCs w:val="24"/>
        </w:rPr>
      </w:pPr>
    </w:p>
    <w:p w:rsidR="006B28F4" w:rsidRPr="008C5B12" w:rsidRDefault="006B28F4" w:rsidP="008C5B12">
      <w:pPr>
        <w:spacing w:line="360" w:lineRule="auto"/>
        <w:jc w:val="both"/>
        <w:rPr>
          <w:rFonts w:ascii="Cambria" w:hAnsi="Cambria"/>
          <w:sz w:val="24"/>
          <w:szCs w:val="24"/>
        </w:rPr>
      </w:pPr>
    </w:p>
    <w:p w:rsidR="005E13D9" w:rsidRPr="00953E57" w:rsidRDefault="00A3781E" w:rsidP="005E13D9">
      <w:pPr>
        <w:pStyle w:val="Paragraphedeliste"/>
        <w:numPr>
          <w:ilvl w:val="1"/>
          <w:numId w:val="6"/>
        </w:numPr>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La gestion du changement de fonction</w:t>
      </w:r>
    </w:p>
    <w:p w:rsidR="00CB1DC1" w:rsidRPr="00EC687D" w:rsidRDefault="00A3781E" w:rsidP="00EC687D">
      <w:pPr>
        <w:spacing w:after="160" w:line="360" w:lineRule="auto"/>
        <w:jc w:val="both"/>
        <w:rPr>
          <w:rFonts w:ascii="Book Antiqua" w:hAnsi="Book Antiqua"/>
          <w:sz w:val="24"/>
          <w:szCs w:val="24"/>
        </w:rPr>
      </w:pPr>
      <w:r w:rsidRPr="00A3781E">
        <w:rPr>
          <w:rFonts w:ascii="Book Antiqua" w:hAnsi="Book Antiqua"/>
          <w:sz w:val="24"/>
          <w:szCs w:val="24"/>
        </w:rPr>
        <w:t>Dans le cas d’un changement de fonction ou de responsabilité (y compris une promotion) dans la même entité juridique de l’entreprise, l’étape la plus importante est de revoir les droits d’accès physiques et logiques aux ressource</w:t>
      </w:r>
      <w:r w:rsidRPr="00A3781E">
        <w:rPr>
          <w:rFonts w:ascii="Book Antiqua" w:hAnsi="Book Antiqua"/>
          <w:sz w:val="24"/>
          <w:szCs w:val="24"/>
        </w:rPr>
        <w:t>s de l’entreprise. Cette revue est</w:t>
      </w:r>
      <w:r w:rsidRPr="00A3781E">
        <w:rPr>
          <w:rFonts w:ascii="Book Antiqua" w:hAnsi="Book Antiqua"/>
          <w:sz w:val="24"/>
          <w:szCs w:val="24"/>
        </w:rPr>
        <w:t xml:space="preserve"> faite comme un départ de la précédente affectation et une nouvelle arrivée dans le nouveau service.</w:t>
      </w:r>
      <w:r w:rsidRPr="00A3781E">
        <w:rPr>
          <w:rFonts w:ascii="Book Antiqua" w:hAnsi="Book Antiqua"/>
          <w:sz w:val="24"/>
          <w:szCs w:val="24"/>
        </w:rPr>
        <w:t xml:space="preserve"> Une demande d’accès est envoyée par la Direction des Ressources Humaine afin que la Direction des Système d’information puisse mettre à jour les différents profils</w:t>
      </w:r>
      <w:r>
        <w:rPr>
          <w:rFonts w:ascii="Book Antiqua" w:hAnsi="Book Antiqua"/>
          <w:sz w:val="24"/>
          <w:szCs w:val="24"/>
        </w:rPr>
        <w:t>.</w:t>
      </w:r>
    </w:p>
    <w:p w:rsidR="005E13D9" w:rsidRPr="00953E57" w:rsidRDefault="00EC687D" w:rsidP="005E13D9">
      <w:pPr>
        <w:pStyle w:val="Paragraphedeliste"/>
        <w:numPr>
          <w:ilvl w:val="1"/>
          <w:numId w:val="6"/>
        </w:numPr>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La gestion du départ de l’employé</w:t>
      </w:r>
    </w:p>
    <w:p w:rsidR="00EC687D" w:rsidRDefault="00EC687D" w:rsidP="00260A52">
      <w:pPr>
        <w:spacing w:line="360" w:lineRule="auto"/>
        <w:jc w:val="both"/>
        <w:rPr>
          <w:rFonts w:ascii="Book Antiqua" w:hAnsi="Book Antiqua"/>
          <w:sz w:val="24"/>
          <w:szCs w:val="24"/>
        </w:rPr>
      </w:pPr>
      <w:r w:rsidRPr="00EC687D">
        <w:rPr>
          <w:rFonts w:ascii="Book Antiqua" w:hAnsi="Book Antiqua"/>
          <w:sz w:val="24"/>
          <w:szCs w:val="24"/>
        </w:rPr>
        <w:t>C’est sans doute la procédure qui doit être la plus contrôlée par une co-responsabilité : Manager et Ressources Humaines ; l’infor</w:t>
      </w:r>
      <w:r>
        <w:rPr>
          <w:rFonts w:ascii="Book Antiqua" w:hAnsi="Book Antiqua"/>
          <w:sz w:val="24"/>
          <w:szCs w:val="24"/>
        </w:rPr>
        <w:t>matique quant à elle, applique</w:t>
      </w:r>
      <w:r w:rsidRPr="00EC687D">
        <w:rPr>
          <w:rFonts w:ascii="Book Antiqua" w:hAnsi="Book Antiqua"/>
          <w:sz w:val="24"/>
          <w:szCs w:val="24"/>
        </w:rPr>
        <w:t xml:space="preserve"> les modifications de droits d’accès en conséquence. Comme tous les mouvements dans l’entreprise, il y a dans la phase de préparation, des étapes à respecter :</w:t>
      </w:r>
    </w:p>
    <w:p w:rsidR="00EC687D" w:rsidRDefault="00EC687D" w:rsidP="00EC687D">
      <w:pPr>
        <w:pStyle w:val="Paragraphedeliste"/>
        <w:numPr>
          <w:ilvl w:val="0"/>
          <w:numId w:val="17"/>
        </w:numPr>
        <w:spacing w:line="360" w:lineRule="auto"/>
        <w:jc w:val="both"/>
        <w:rPr>
          <w:rFonts w:ascii="Book Antiqua" w:hAnsi="Book Antiqua"/>
          <w:sz w:val="24"/>
          <w:szCs w:val="24"/>
        </w:rPr>
      </w:pPr>
      <w:r w:rsidRPr="00EC687D">
        <w:rPr>
          <w:rFonts w:ascii="Book Antiqua" w:hAnsi="Book Antiqua"/>
          <w:sz w:val="24"/>
          <w:szCs w:val="24"/>
        </w:rPr>
        <w:t>Le manager de l’employé au départ informe la RH qui calculera le solde de tout compte et préparera les documents à signer via la procédure de sortie de personnel</w:t>
      </w:r>
      <w:r w:rsidR="00F7460C">
        <w:rPr>
          <w:rFonts w:ascii="Book Antiqua" w:hAnsi="Book Antiqua"/>
          <w:sz w:val="24"/>
          <w:szCs w:val="24"/>
        </w:rPr>
        <w:t> ;</w:t>
      </w:r>
    </w:p>
    <w:p w:rsidR="00EC687D" w:rsidRDefault="00F7460C" w:rsidP="00EC687D">
      <w:pPr>
        <w:pStyle w:val="Paragraphedeliste"/>
        <w:numPr>
          <w:ilvl w:val="0"/>
          <w:numId w:val="17"/>
        </w:numPr>
        <w:spacing w:line="360" w:lineRule="auto"/>
        <w:jc w:val="both"/>
        <w:rPr>
          <w:rFonts w:ascii="Book Antiqua" w:hAnsi="Book Antiqua"/>
          <w:sz w:val="24"/>
          <w:szCs w:val="24"/>
        </w:rPr>
      </w:pPr>
      <w:r w:rsidRPr="00F7460C">
        <w:rPr>
          <w:rFonts w:ascii="Book Antiqua" w:hAnsi="Book Antiqua"/>
          <w:sz w:val="24"/>
          <w:szCs w:val="24"/>
        </w:rPr>
        <w:t xml:space="preserve">Le manager informe la DSI </w:t>
      </w:r>
      <w:r w:rsidRPr="00F7460C">
        <w:rPr>
          <w:rFonts w:ascii="Book Antiqua" w:hAnsi="Book Antiqua"/>
          <w:sz w:val="24"/>
          <w:szCs w:val="24"/>
        </w:rPr>
        <w:t xml:space="preserve"> pour mettre à jour en temps réel les droits</w:t>
      </w:r>
      <w:r w:rsidRPr="00F7460C">
        <w:rPr>
          <w:rFonts w:ascii="Book Antiqua" w:hAnsi="Book Antiqua"/>
          <w:sz w:val="24"/>
          <w:szCs w:val="24"/>
        </w:rPr>
        <w:t xml:space="preserve"> </w:t>
      </w:r>
      <w:r w:rsidRPr="00F7460C">
        <w:rPr>
          <w:rFonts w:ascii="Book Antiqua" w:hAnsi="Book Antiqua"/>
          <w:sz w:val="24"/>
          <w:szCs w:val="24"/>
        </w:rPr>
        <w:t>d’accès physique</w:t>
      </w:r>
      <w:r w:rsidRPr="00F7460C">
        <w:rPr>
          <w:rFonts w:ascii="Book Antiqua" w:hAnsi="Book Antiqua"/>
          <w:sz w:val="24"/>
          <w:szCs w:val="24"/>
        </w:rPr>
        <w:t xml:space="preserve"> et</w:t>
      </w:r>
      <w:r w:rsidRPr="00F7460C">
        <w:rPr>
          <w:rFonts w:ascii="Book Antiqua" w:hAnsi="Book Antiqua"/>
          <w:sz w:val="24"/>
          <w:szCs w:val="24"/>
        </w:rPr>
        <w:t xml:space="preserve"> </w:t>
      </w:r>
      <w:r w:rsidRPr="00F7460C">
        <w:rPr>
          <w:rFonts w:ascii="Book Antiqua" w:hAnsi="Book Antiqua"/>
          <w:sz w:val="24"/>
          <w:szCs w:val="24"/>
        </w:rPr>
        <w:t>des droits d’accès logique</w:t>
      </w:r>
      <w:r>
        <w:rPr>
          <w:rFonts w:ascii="Book Antiqua" w:hAnsi="Book Antiqua"/>
          <w:sz w:val="24"/>
          <w:szCs w:val="24"/>
        </w:rPr>
        <w:t> ;</w:t>
      </w:r>
    </w:p>
    <w:p w:rsidR="000561AC" w:rsidRPr="00CB1DC1" w:rsidRDefault="00F7460C" w:rsidP="00CB1DC1">
      <w:pPr>
        <w:pStyle w:val="Paragraphedeliste"/>
        <w:numPr>
          <w:ilvl w:val="0"/>
          <w:numId w:val="17"/>
        </w:numPr>
        <w:spacing w:line="360" w:lineRule="auto"/>
        <w:jc w:val="both"/>
        <w:rPr>
          <w:rFonts w:ascii="Book Antiqua" w:hAnsi="Book Antiqua"/>
          <w:sz w:val="24"/>
          <w:szCs w:val="24"/>
        </w:rPr>
      </w:pPr>
      <w:r w:rsidRPr="00F7460C">
        <w:rPr>
          <w:rFonts w:ascii="Book Antiqua" w:hAnsi="Book Antiqua"/>
          <w:sz w:val="24"/>
          <w:szCs w:val="24"/>
        </w:rPr>
        <w:t>La D</w:t>
      </w:r>
      <w:r w:rsidRPr="00F7460C">
        <w:rPr>
          <w:rFonts w:ascii="Book Antiqua" w:hAnsi="Book Antiqua"/>
          <w:sz w:val="24"/>
          <w:szCs w:val="24"/>
        </w:rPr>
        <w:t>RH fera signer un document engageant l’employé sur son interdiction de communiquer des informations dont il a eu connaissance durant son parcours professionnel dans l’entreprise.</w:t>
      </w:r>
    </w:p>
    <w:p w:rsidR="005E13D9" w:rsidRPr="00953E57" w:rsidRDefault="005519F0" w:rsidP="005E13D9">
      <w:pPr>
        <w:pStyle w:val="Paragraphedeliste"/>
        <w:numPr>
          <w:ilvl w:val="1"/>
          <w:numId w:val="6"/>
        </w:numPr>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Le rôle des responsables de la procédure</w:t>
      </w:r>
    </w:p>
    <w:p w:rsidR="005519F0" w:rsidRPr="005519F0" w:rsidRDefault="005519F0" w:rsidP="005519F0">
      <w:pPr>
        <w:spacing w:line="360" w:lineRule="auto"/>
        <w:jc w:val="both"/>
        <w:rPr>
          <w:rFonts w:ascii="Book Antiqua" w:hAnsi="Book Antiqua"/>
          <w:sz w:val="24"/>
          <w:szCs w:val="24"/>
        </w:rPr>
      </w:pPr>
      <w:r w:rsidRPr="005519F0">
        <w:rPr>
          <w:rFonts w:ascii="Book Antiqua" w:hAnsi="Book Antiqua"/>
          <w:sz w:val="24"/>
          <w:szCs w:val="24"/>
        </w:rPr>
        <w:t>Cette procédure est complexe car elle demande la synchronisation de plusieurs managers. Successivement, le Manager qui va accueillir l’employé est le premier responsable qui doit initier le processus, puis les RH doivent prendre le relais pour le recrutement et l’accueil dans l’entreprise.</w:t>
      </w:r>
    </w:p>
    <w:p w:rsidR="005519F0" w:rsidRDefault="005519F0" w:rsidP="005519F0">
      <w:pPr>
        <w:spacing w:line="360" w:lineRule="auto"/>
        <w:jc w:val="both"/>
        <w:rPr>
          <w:rFonts w:ascii="Book Antiqua" w:hAnsi="Book Antiqua"/>
          <w:sz w:val="24"/>
          <w:szCs w:val="24"/>
        </w:rPr>
      </w:pPr>
      <w:r w:rsidRPr="005519F0">
        <w:rPr>
          <w:rFonts w:ascii="Book Antiqua" w:hAnsi="Book Antiqua"/>
          <w:sz w:val="24"/>
          <w:szCs w:val="24"/>
        </w:rPr>
        <w:t>Enfin, le départ du salarié doit être sous la responsabilité commune du Manager et des RH qui effectueront le contrôle de l’application de la procédure de sortie de l’entreprise dont la mise à jour des droits d’accès. Cette co-responsabilité doit diminuer le risque d’information ou de matériel conservé par l’employé (pc ou téléphone non rendu par exemple).</w:t>
      </w:r>
    </w:p>
    <w:p w:rsidR="005519F0" w:rsidRDefault="005519F0" w:rsidP="005519F0">
      <w:pPr>
        <w:spacing w:line="360" w:lineRule="auto"/>
        <w:jc w:val="both"/>
        <w:rPr>
          <w:rFonts w:ascii="Book Antiqua" w:hAnsi="Book Antiqua"/>
          <w:sz w:val="24"/>
          <w:szCs w:val="24"/>
        </w:rPr>
      </w:pPr>
    </w:p>
    <w:p w:rsidR="005519F0" w:rsidRPr="005519F0" w:rsidRDefault="005519F0" w:rsidP="005519F0">
      <w:pPr>
        <w:spacing w:line="360" w:lineRule="auto"/>
        <w:jc w:val="both"/>
        <w:rPr>
          <w:rFonts w:ascii="Book Antiqua" w:hAnsi="Book Antiqua"/>
          <w:sz w:val="24"/>
          <w:szCs w:val="24"/>
        </w:rPr>
      </w:pPr>
    </w:p>
    <w:p w:rsidR="00867629" w:rsidRPr="005519F0" w:rsidRDefault="005519F0" w:rsidP="005519F0">
      <w:pPr>
        <w:spacing w:line="360" w:lineRule="auto"/>
        <w:jc w:val="both"/>
        <w:rPr>
          <w:rFonts w:ascii="Book Antiqua" w:hAnsi="Book Antiqua"/>
          <w:sz w:val="24"/>
          <w:szCs w:val="24"/>
        </w:rPr>
      </w:pPr>
      <w:r w:rsidRPr="005519F0">
        <w:rPr>
          <w:rFonts w:ascii="Book Antiqua" w:hAnsi="Book Antiqua"/>
          <w:sz w:val="24"/>
          <w:szCs w:val="24"/>
        </w:rPr>
        <w:t>Le formulaire de sortie avec la liste des documents et droits d’accès physique aux locaux sensibles et logiques aux Systèmes d’Information doit être mis à jour régulièrement. Pour ce qui est des droits d’accès logiques, la liste des droits doit être recalculée à partir de ce qui est constaté dans les Systèmes d’Information. Une attention particulière sera apportée pour les accès à distance et les systèmes d’identification sur l’Active Directory interne et autre Directory dans le Cloud de l</w:t>
      </w:r>
      <w:r>
        <w:rPr>
          <w:rFonts w:ascii="Book Antiqua" w:hAnsi="Book Antiqua"/>
          <w:sz w:val="24"/>
          <w:szCs w:val="24"/>
        </w:rPr>
        <w:t>’entreprise (Microsoft Teams</w:t>
      </w:r>
      <w:r w:rsidRPr="005519F0">
        <w:rPr>
          <w:rFonts w:ascii="Book Antiqua" w:hAnsi="Book Antiqua"/>
          <w:sz w:val="24"/>
          <w:szCs w:val="24"/>
        </w:rPr>
        <w:t>).</w:t>
      </w:r>
    </w:p>
    <w:p w:rsidR="00286A4D" w:rsidRDefault="005519F0" w:rsidP="00286A4D">
      <w:pPr>
        <w:pStyle w:val="Titre2"/>
        <w:numPr>
          <w:ilvl w:val="0"/>
          <w:numId w:val="6"/>
        </w:numPr>
        <w:rPr>
          <w:color w:val="943634" w:themeColor="accent2" w:themeShade="BF"/>
        </w:rPr>
      </w:pPr>
      <w:r>
        <w:rPr>
          <w:color w:val="943634" w:themeColor="accent2" w:themeShade="BF"/>
        </w:rPr>
        <w:t>Cas de la sous-traitance</w:t>
      </w:r>
    </w:p>
    <w:p w:rsidR="005519F0" w:rsidRPr="005519F0" w:rsidRDefault="005519F0" w:rsidP="005519F0">
      <w:pPr>
        <w:spacing w:line="360" w:lineRule="auto"/>
        <w:jc w:val="both"/>
        <w:rPr>
          <w:rFonts w:ascii="Book Antiqua" w:hAnsi="Book Antiqua"/>
          <w:sz w:val="24"/>
          <w:szCs w:val="24"/>
        </w:rPr>
      </w:pPr>
      <w:r w:rsidRPr="005519F0">
        <w:rPr>
          <w:rFonts w:ascii="Book Antiqua" w:hAnsi="Book Antiqua"/>
          <w:sz w:val="24"/>
          <w:szCs w:val="24"/>
        </w:rPr>
        <w:t>La procédure est légèrement différente pour les entrées-sorties des personnes employés temporairement (stagiaires, intérimaires) et les consultants présents pour la durée d’un projet. En effet, si on reprend les trois étapes de la vie d’une personne dans l’entreprise :</w:t>
      </w:r>
    </w:p>
    <w:p w:rsidR="005519F0" w:rsidRPr="006B3E78" w:rsidRDefault="005519F0" w:rsidP="006B3E78">
      <w:pPr>
        <w:pStyle w:val="Paragraphedeliste"/>
        <w:shd w:val="clear" w:color="auto" w:fill="FFFFFF"/>
        <w:spacing w:after="0" w:line="360" w:lineRule="auto"/>
        <w:jc w:val="both"/>
        <w:rPr>
          <w:rFonts w:ascii="Cambria" w:hAnsi="Cambria"/>
          <w:sz w:val="24"/>
          <w:szCs w:val="24"/>
        </w:rPr>
      </w:pPr>
      <w:r w:rsidRPr="005519F0">
        <w:rPr>
          <w:rFonts w:ascii="minion-pro" w:eastAsia="Times New Roman" w:hAnsi="minion-pro" w:cs="Times New Roman"/>
          <w:b/>
          <w:bCs/>
          <w:color w:val="686868"/>
          <w:sz w:val="24"/>
          <w:szCs w:val="24"/>
          <w:bdr w:val="none" w:sz="0" w:space="0" w:color="auto" w:frame="1"/>
          <w:lang w:eastAsia="fr-FR"/>
        </w:rPr>
        <w:t xml:space="preserve">* </w:t>
      </w:r>
      <w:r w:rsidRPr="006B3E78">
        <w:rPr>
          <w:rFonts w:ascii="Cambria" w:hAnsi="Cambria"/>
          <w:b/>
          <w:sz w:val="24"/>
          <w:szCs w:val="24"/>
        </w:rPr>
        <w:t>Avant l’accueil de la personne</w:t>
      </w:r>
      <w:r w:rsidRPr="006B3E78">
        <w:rPr>
          <w:rFonts w:ascii="Cambria" w:hAnsi="Cambria"/>
          <w:sz w:val="24"/>
          <w:szCs w:val="24"/>
        </w:rPr>
        <w:t>, un contrat aura été revu avec le fournisseur (ou l’école dans le cas d’un stage) pour que les conditions de sécurité (droits d’accès physique et conditions d’utilisation des systèmes d’information) lui aient été communiquées et en particulier la charte informatique. De plus, le Manager aidé d’un juriste si nécessaire, pourra prévoir un paragraphe relatif à la confidentialité des informations auxquelles l’employé temporaire aura accès.</w:t>
      </w:r>
    </w:p>
    <w:p w:rsidR="005519F0" w:rsidRPr="006B3E78" w:rsidRDefault="005519F0" w:rsidP="006B3E78">
      <w:pPr>
        <w:pStyle w:val="Paragraphedeliste"/>
        <w:shd w:val="clear" w:color="auto" w:fill="FFFFFF"/>
        <w:spacing w:after="0" w:line="360" w:lineRule="auto"/>
        <w:jc w:val="both"/>
        <w:rPr>
          <w:rFonts w:ascii="Cambria" w:hAnsi="Cambria"/>
          <w:sz w:val="24"/>
          <w:szCs w:val="24"/>
        </w:rPr>
      </w:pPr>
      <w:r w:rsidRPr="005519F0">
        <w:rPr>
          <w:rFonts w:ascii="minion-pro" w:eastAsia="Times New Roman" w:hAnsi="minion-pro" w:cs="Times New Roman"/>
          <w:b/>
          <w:bCs/>
          <w:color w:val="686868"/>
          <w:sz w:val="24"/>
          <w:szCs w:val="24"/>
          <w:bdr w:val="none" w:sz="0" w:space="0" w:color="auto" w:frame="1"/>
          <w:lang w:eastAsia="fr-FR"/>
        </w:rPr>
        <w:t xml:space="preserve">* </w:t>
      </w:r>
      <w:r w:rsidRPr="006B3E78">
        <w:rPr>
          <w:rFonts w:ascii="Cambria" w:hAnsi="Cambria"/>
          <w:b/>
          <w:sz w:val="24"/>
          <w:szCs w:val="24"/>
        </w:rPr>
        <w:t>Lors de l’accueil d’une personne temporaire</w:t>
      </w:r>
      <w:r w:rsidRPr="005519F0">
        <w:rPr>
          <w:rFonts w:ascii="minion-pro" w:eastAsia="Times New Roman" w:hAnsi="minion-pro" w:cs="Times New Roman"/>
          <w:color w:val="686868"/>
          <w:sz w:val="24"/>
          <w:szCs w:val="24"/>
          <w:lang w:eastAsia="fr-FR"/>
        </w:rPr>
        <w:t xml:space="preserve">, </w:t>
      </w:r>
      <w:r w:rsidRPr="006B3E78">
        <w:rPr>
          <w:rFonts w:ascii="Cambria" w:hAnsi="Cambria"/>
          <w:sz w:val="24"/>
          <w:szCs w:val="24"/>
        </w:rPr>
        <w:t>les conditions de sécurité (logiques et physiques) doivent être présentées de manière similaire à celles des autres employés. De plus, le manager est responsable de cet employé temporaire et devra surveiller de manière attentive le comportement de la personne pour éviter les risques de sécurité physique ou vol/fuite de données sensibles de l’entreprise.</w:t>
      </w:r>
    </w:p>
    <w:p w:rsidR="005519F0" w:rsidRPr="006B3E78" w:rsidRDefault="005519F0" w:rsidP="006B3E78">
      <w:pPr>
        <w:pStyle w:val="Paragraphedeliste"/>
        <w:shd w:val="clear" w:color="auto" w:fill="FFFFFF"/>
        <w:spacing w:after="0" w:line="360" w:lineRule="auto"/>
        <w:jc w:val="both"/>
        <w:rPr>
          <w:rFonts w:ascii="Cambria" w:hAnsi="Cambria"/>
          <w:sz w:val="24"/>
          <w:szCs w:val="24"/>
        </w:rPr>
      </w:pPr>
      <w:r w:rsidRPr="005519F0">
        <w:rPr>
          <w:rFonts w:ascii="minion-pro" w:eastAsia="Times New Roman" w:hAnsi="minion-pro" w:cs="Times New Roman"/>
          <w:b/>
          <w:bCs/>
          <w:color w:val="686868"/>
          <w:sz w:val="24"/>
          <w:szCs w:val="24"/>
          <w:bdr w:val="none" w:sz="0" w:space="0" w:color="auto" w:frame="1"/>
          <w:lang w:eastAsia="fr-FR"/>
        </w:rPr>
        <w:t xml:space="preserve">* </w:t>
      </w:r>
      <w:r w:rsidRPr="006B3E78">
        <w:rPr>
          <w:rFonts w:ascii="Cambria" w:hAnsi="Cambria"/>
          <w:b/>
          <w:sz w:val="24"/>
          <w:szCs w:val="24"/>
        </w:rPr>
        <w:t>Enfin, lors du départ de l’employé</w:t>
      </w:r>
      <w:r w:rsidR="006B3E78">
        <w:rPr>
          <w:rFonts w:ascii="Cambria" w:hAnsi="Cambria"/>
          <w:b/>
          <w:sz w:val="24"/>
          <w:szCs w:val="24"/>
        </w:rPr>
        <w:t>,</w:t>
      </w:r>
      <w:r w:rsidRPr="005519F0">
        <w:rPr>
          <w:rFonts w:ascii="minion-pro" w:eastAsia="Times New Roman" w:hAnsi="minion-pro" w:cs="Times New Roman"/>
          <w:color w:val="686868"/>
          <w:sz w:val="24"/>
          <w:szCs w:val="24"/>
          <w:lang w:eastAsia="fr-FR"/>
        </w:rPr>
        <w:t> </w:t>
      </w:r>
      <w:r w:rsidRPr="006B3E78">
        <w:rPr>
          <w:rFonts w:ascii="Cambria" w:hAnsi="Cambria"/>
          <w:sz w:val="24"/>
          <w:szCs w:val="24"/>
        </w:rPr>
        <w:t>il faut suivre rigoureusement la procédure de sortie ainsi qu’au niveau contractuel dans le cas d’un consultant. Dans le cas d’un stagiaire, il est aussi important que le rapport de stage soit relu avec attention par le maître de stage pour garantir qu’aucune information sensible ne soit communiquée à l’extérieur de l’entreprise. Cette action pourra être notée dans la procédure de sortie d’un employé temporaire pour ne pas l’oublier.</w:t>
      </w:r>
    </w:p>
    <w:p w:rsidR="006B3E78" w:rsidRDefault="006B3E78" w:rsidP="005E13D9">
      <w:pPr>
        <w:spacing w:line="360" w:lineRule="auto"/>
        <w:jc w:val="both"/>
        <w:rPr>
          <w:rFonts w:ascii="minion-pro" w:eastAsia="Times New Roman" w:hAnsi="minion-pro" w:cs="Times New Roman"/>
          <w:color w:val="686868"/>
          <w:sz w:val="24"/>
          <w:szCs w:val="24"/>
          <w:lang w:eastAsia="fr-FR"/>
        </w:rPr>
      </w:pPr>
    </w:p>
    <w:p w:rsidR="006B3E78" w:rsidRDefault="006B3E78" w:rsidP="005E13D9">
      <w:pPr>
        <w:spacing w:line="360" w:lineRule="auto"/>
        <w:jc w:val="both"/>
        <w:rPr>
          <w:rFonts w:ascii="minion-pro" w:eastAsia="Times New Roman" w:hAnsi="minion-pro" w:cs="Times New Roman"/>
          <w:color w:val="686868"/>
          <w:sz w:val="24"/>
          <w:szCs w:val="24"/>
          <w:lang w:eastAsia="fr-FR"/>
        </w:rPr>
      </w:pPr>
    </w:p>
    <w:p w:rsidR="006B3E78" w:rsidRDefault="006B3E78" w:rsidP="005E13D9">
      <w:pPr>
        <w:spacing w:line="360" w:lineRule="auto"/>
        <w:jc w:val="both"/>
        <w:rPr>
          <w:rFonts w:ascii="minion-pro" w:eastAsia="Times New Roman" w:hAnsi="minion-pro" w:cs="Times New Roman"/>
          <w:color w:val="686868"/>
          <w:sz w:val="24"/>
          <w:szCs w:val="24"/>
          <w:lang w:eastAsia="fr-FR"/>
        </w:rPr>
      </w:pPr>
    </w:p>
    <w:p w:rsidR="006B3E78" w:rsidRDefault="006B3E78" w:rsidP="005E13D9">
      <w:pPr>
        <w:spacing w:line="360" w:lineRule="auto"/>
        <w:jc w:val="both"/>
        <w:rPr>
          <w:rFonts w:ascii="minion-pro" w:eastAsia="Times New Roman" w:hAnsi="minion-pro" w:cs="Times New Roman"/>
          <w:color w:val="686868"/>
          <w:sz w:val="24"/>
          <w:szCs w:val="24"/>
          <w:lang w:eastAsia="fr-FR"/>
        </w:rPr>
      </w:pPr>
    </w:p>
    <w:p w:rsidR="006B3E78" w:rsidRDefault="006B3E78" w:rsidP="005E13D9">
      <w:pPr>
        <w:spacing w:line="360" w:lineRule="auto"/>
        <w:jc w:val="both"/>
        <w:rPr>
          <w:rFonts w:ascii="minion-pro" w:eastAsia="Times New Roman" w:hAnsi="minion-pro" w:cs="Times New Roman"/>
          <w:color w:val="686868"/>
          <w:sz w:val="24"/>
          <w:szCs w:val="24"/>
          <w:lang w:eastAsia="fr-FR"/>
        </w:rPr>
      </w:pPr>
    </w:p>
    <w:p w:rsidR="006B3E78" w:rsidRPr="006B3E78" w:rsidRDefault="006B3E78" w:rsidP="006B3E78">
      <w:pPr>
        <w:pStyle w:val="Titre2"/>
        <w:numPr>
          <w:ilvl w:val="0"/>
          <w:numId w:val="6"/>
        </w:numPr>
        <w:rPr>
          <w:color w:val="943634" w:themeColor="accent2" w:themeShade="BF"/>
        </w:rPr>
      </w:pPr>
      <w:r>
        <w:rPr>
          <w:color w:val="943634" w:themeColor="accent2" w:themeShade="BF"/>
        </w:rPr>
        <w:t>Le respect des séparations de fonctions</w:t>
      </w:r>
    </w:p>
    <w:p w:rsidR="00C35F03" w:rsidRDefault="006B3E78" w:rsidP="005E13D9">
      <w:pPr>
        <w:spacing w:line="360" w:lineRule="auto"/>
        <w:jc w:val="both"/>
        <w:rPr>
          <w:rFonts w:ascii="Cambria" w:hAnsi="Cambria"/>
          <w:sz w:val="24"/>
          <w:szCs w:val="24"/>
        </w:rPr>
      </w:pPr>
      <w:r>
        <w:rPr>
          <w:rFonts w:ascii="Cambria" w:hAnsi="Cambria"/>
          <w:sz w:val="24"/>
          <w:szCs w:val="24"/>
        </w:rPr>
        <w:t>Pour assurer les contrôles relatifs à cette procédure, il est nécessaire de mettre en place un reporting périodique qui facilitera l’auditabilité du processus</w:t>
      </w:r>
      <w:r w:rsidR="00286A4D" w:rsidRPr="005E13D9">
        <w:rPr>
          <w:rFonts w:ascii="Cambria" w:hAnsi="Cambria"/>
          <w:sz w:val="24"/>
          <w:szCs w:val="24"/>
        </w:rPr>
        <w:t>.</w:t>
      </w:r>
    </w:p>
    <w:p w:rsidR="005E13D9" w:rsidRDefault="005E13D9" w:rsidP="005E13D9">
      <w:pPr>
        <w:rPr>
          <w:rFonts w:ascii="Cambria" w:hAnsi="Cambria"/>
          <w:sz w:val="24"/>
          <w:szCs w:val="24"/>
        </w:rPr>
      </w:pPr>
    </w:p>
    <w:tbl>
      <w:tblPr>
        <w:tblStyle w:val="Grilledutableau"/>
        <w:tblW w:w="0" w:type="auto"/>
        <w:tblLook w:val="04A0" w:firstRow="1" w:lastRow="0" w:firstColumn="1" w:lastColumn="0" w:noHBand="0" w:noVBand="1"/>
      </w:tblPr>
      <w:tblGrid>
        <w:gridCol w:w="2407"/>
        <w:gridCol w:w="2407"/>
        <w:gridCol w:w="2407"/>
        <w:gridCol w:w="2407"/>
      </w:tblGrid>
      <w:tr w:rsidR="006B3E78" w:rsidTr="006B3E78">
        <w:tc>
          <w:tcPr>
            <w:tcW w:w="2407" w:type="dxa"/>
          </w:tcPr>
          <w:p w:rsidR="006B3E78" w:rsidRDefault="006B3E78" w:rsidP="005E13D9">
            <w:pPr>
              <w:rPr>
                <w:rFonts w:ascii="Cambria" w:hAnsi="Cambria"/>
                <w:sz w:val="24"/>
                <w:szCs w:val="24"/>
              </w:rPr>
            </w:pPr>
            <w:r>
              <w:rPr>
                <w:rFonts w:ascii="Cambria" w:hAnsi="Cambria"/>
                <w:sz w:val="24"/>
                <w:szCs w:val="24"/>
              </w:rPr>
              <w:t>TYPE DE CONTRÖLE</w:t>
            </w:r>
          </w:p>
        </w:tc>
        <w:tc>
          <w:tcPr>
            <w:tcW w:w="2407" w:type="dxa"/>
          </w:tcPr>
          <w:p w:rsidR="006B3E78" w:rsidRDefault="006B3E78" w:rsidP="005E13D9">
            <w:pPr>
              <w:rPr>
                <w:rFonts w:ascii="Cambria" w:hAnsi="Cambria"/>
                <w:sz w:val="24"/>
                <w:szCs w:val="24"/>
              </w:rPr>
            </w:pPr>
            <w:r>
              <w:rPr>
                <w:rFonts w:ascii="Cambria" w:hAnsi="Cambria"/>
                <w:sz w:val="24"/>
                <w:szCs w:val="24"/>
              </w:rPr>
              <w:t>Rapport de contrôle</w:t>
            </w:r>
          </w:p>
        </w:tc>
        <w:tc>
          <w:tcPr>
            <w:tcW w:w="2407" w:type="dxa"/>
          </w:tcPr>
          <w:p w:rsidR="006B3E78" w:rsidRDefault="006B3E78" w:rsidP="005E13D9">
            <w:pPr>
              <w:rPr>
                <w:rFonts w:ascii="Cambria" w:hAnsi="Cambria"/>
                <w:sz w:val="24"/>
                <w:szCs w:val="24"/>
              </w:rPr>
            </w:pPr>
            <w:r>
              <w:rPr>
                <w:rFonts w:ascii="Cambria" w:hAnsi="Cambria"/>
                <w:sz w:val="24"/>
                <w:szCs w:val="24"/>
              </w:rPr>
              <w:t>Périodicité</w:t>
            </w:r>
          </w:p>
        </w:tc>
        <w:tc>
          <w:tcPr>
            <w:tcW w:w="2407" w:type="dxa"/>
          </w:tcPr>
          <w:p w:rsidR="006B3E78" w:rsidRDefault="006B3E78" w:rsidP="005E13D9">
            <w:pPr>
              <w:rPr>
                <w:rFonts w:ascii="Cambria" w:hAnsi="Cambria"/>
                <w:sz w:val="24"/>
                <w:szCs w:val="24"/>
              </w:rPr>
            </w:pPr>
            <w:r>
              <w:rPr>
                <w:rFonts w:ascii="Cambria" w:hAnsi="Cambria"/>
                <w:sz w:val="24"/>
                <w:szCs w:val="24"/>
              </w:rPr>
              <w:t>Process Owner(s)</w:t>
            </w:r>
          </w:p>
        </w:tc>
      </w:tr>
      <w:tr w:rsidR="006B3E78" w:rsidTr="006B3E78">
        <w:tc>
          <w:tcPr>
            <w:tcW w:w="2407" w:type="dxa"/>
          </w:tcPr>
          <w:p w:rsidR="006B3E78" w:rsidRDefault="0055554B" w:rsidP="005E13D9">
            <w:pPr>
              <w:rPr>
                <w:rFonts w:ascii="Cambria" w:hAnsi="Cambria"/>
                <w:sz w:val="24"/>
                <w:szCs w:val="24"/>
              </w:rPr>
            </w:pPr>
            <w:r>
              <w:rPr>
                <w:rFonts w:ascii="Cambria" w:hAnsi="Cambria"/>
                <w:sz w:val="24"/>
                <w:szCs w:val="24"/>
              </w:rPr>
              <w:t>Extraction automatique</w:t>
            </w:r>
          </w:p>
        </w:tc>
        <w:tc>
          <w:tcPr>
            <w:tcW w:w="2407" w:type="dxa"/>
          </w:tcPr>
          <w:p w:rsidR="006B3E78" w:rsidRDefault="0055554B" w:rsidP="005E13D9">
            <w:pPr>
              <w:rPr>
                <w:rFonts w:ascii="Cambria" w:hAnsi="Cambria"/>
                <w:sz w:val="24"/>
                <w:szCs w:val="24"/>
              </w:rPr>
            </w:pPr>
            <w:r>
              <w:rPr>
                <w:rFonts w:ascii="Cambria" w:hAnsi="Cambria"/>
                <w:sz w:val="24"/>
                <w:szCs w:val="24"/>
              </w:rPr>
              <w:t>Liste des employés pour chaque Système d’information</w:t>
            </w:r>
          </w:p>
        </w:tc>
        <w:tc>
          <w:tcPr>
            <w:tcW w:w="2407" w:type="dxa"/>
          </w:tcPr>
          <w:p w:rsidR="0055554B" w:rsidRDefault="0055554B" w:rsidP="005E13D9">
            <w:pPr>
              <w:rPr>
                <w:rFonts w:ascii="Cambria" w:hAnsi="Cambria"/>
                <w:sz w:val="24"/>
                <w:szCs w:val="24"/>
              </w:rPr>
            </w:pPr>
          </w:p>
          <w:p w:rsidR="006B3E78" w:rsidRPr="0055554B" w:rsidRDefault="0055554B" w:rsidP="0055554B">
            <w:pPr>
              <w:ind w:firstLine="708"/>
              <w:rPr>
                <w:rFonts w:ascii="Cambria" w:hAnsi="Cambria"/>
                <w:sz w:val="24"/>
                <w:szCs w:val="24"/>
              </w:rPr>
            </w:pPr>
            <w:r>
              <w:rPr>
                <w:rFonts w:ascii="Cambria" w:hAnsi="Cambria"/>
                <w:sz w:val="24"/>
                <w:szCs w:val="24"/>
              </w:rPr>
              <w:t>Mensuelle</w:t>
            </w:r>
          </w:p>
        </w:tc>
        <w:tc>
          <w:tcPr>
            <w:tcW w:w="2407" w:type="dxa"/>
          </w:tcPr>
          <w:p w:rsidR="006B3E78" w:rsidRDefault="0055554B" w:rsidP="005E13D9">
            <w:pPr>
              <w:rPr>
                <w:rFonts w:ascii="Cambria" w:hAnsi="Cambria"/>
                <w:sz w:val="24"/>
                <w:szCs w:val="24"/>
              </w:rPr>
            </w:pPr>
            <w:r>
              <w:rPr>
                <w:rFonts w:ascii="Cambria" w:hAnsi="Cambria"/>
                <w:sz w:val="24"/>
                <w:szCs w:val="24"/>
              </w:rPr>
              <w:t>Direction Informatique</w:t>
            </w:r>
          </w:p>
        </w:tc>
      </w:tr>
      <w:tr w:rsidR="006B3E78" w:rsidTr="006B3E78">
        <w:tc>
          <w:tcPr>
            <w:tcW w:w="2407" w:type="dxa"/>
          </w:tcPr>
          <w:p w:rsidR="006B3E78" w:rsidRDefault="0055554B" w:rsidP="005E13D9">
            <w:pPr>
              <w:rPr>
                <w:rFonts w:ascii="Cambria" w:hAnsi="Cambria"/>
                <w:sz w:val="24"/>
                <w:szCs w:val="24"/>
              </w:rPr>
            </w:pPr>
            <w:r>
              <w:rPr>
                <w:rFonts w:ascii="Cambria" w:hAnsi="Cambria"/>
                <w:sz w:val="24"/>
                <w:szCs w:val="24"/>
              </w:rPr>
              <w:t>Extraction automatique</w:t>
            </w:r>
          </w:p>
        </w:tc>
        <w:tc>
          <w:tcPr>
            <w:tcW w:w="2407" w:type="dxa"/>
          </w:tcPr>
          <w:p w:rsidR="006B3E78" w:rsidRDefault="0055554B" w:rsidP="0055554B">
            <w:pPr>
              <w:rPr>
                <w:rFonts w:ascii="Cambria" w:hAnsi="Cambria"/>
                <w:sz w:val="24"/>
                <w:szCs w:val="24"/>
              </w:rPr>
            </w:pPr>
            <w:r w:rsidRPr="0055554B">
              <w:rPr>
                <w:rFonts w:ascii="Cambria" w:hAnsi="Cambria"/>
                <w:sz w:val="24"/>
                <w:szCs w:val="24"/>
              </w:rPr>
              <w:t>Liste des employés présents dans l’entreprise (avec date d’effet)</w:t>
            </w:r>
          </w:p>
        </w:tc>
        <w:tc>
          <w:tcPr>
            <w:tcW w:w="2407" w:type="dxa"/>
          </w:tcPr>
          <w:p w:rsidR="0055554B" w:rsidRDefault="0055554B" w:rsidP="005E13D9">
            <w:pPr>
              <w:rPr>
                <w:rFonts w:ascii="Cambria" w:hAnsi="Cambria"/>
                <w:sz w:val="24"/>
                <w:szCs w:val="24"/>
              </w:rPr>
            </w:pPr>
          </w:p>
          <w:p w:rsidR="0055554B" w:rsidRDefault="0055554B" w:rsidP="0055554B">
            <w:pPr>
              <w:ind w:firstLine="708"/>
              <w:rPr>
                <w:rFonts w:ascii="Cambria" w:hAnsi="Cambria"/>
                <w:sz w:val="24"/>
                <w:szCs w:val="24"/>
              </w:rPr>
            </w:pPr>
            <w:r>
              <w:rPr>
                <w:rFonts w:ascii="Cambria" w:hAnsi="Cambria"/>
                <w:sz w:val="24"/>
                <w:szCs w:val="24"/>
              </w:rPr>
              <w:t>Mensuelle</w:t>
            </w:r>
          </w:p>
          <w:p w:rsidR="006B3E78" w:rsidRDefault="006B3E78" w:rsidP="005E13D9">
            <w:pPr>
              <w:rPr>
                <w:rFonts w:ascii="Cambria" w:hAnsi="Cambria"/>
                <w:sz w:val="24"/>
                <w:szCs w:val="24"/>
              </w:rPr>
            </w:pPr>
          </w:p>
        </w:tc>
        <w:tc>
          <w:tcPr>
            <w:tcW w:w="2407" w:type="dxa"/>
          </w:tcPr>
          <w:p w:rsidR="006B3E78" w:rsidRDefault="0055554B" w:rsidP="005E13D9">
            <w:pPr>
              <w:rPr>
                <w:rFonts w:ascii="Cambria" w:hAnsi="Cambria"/>
                <w:sz w:val="24"/>
                <w:szCs w:val="24"/>
              </w:rPr>
            </w:pPr>
            <w:r>
              <w:rPr>
                <w:rFonts w:ascii="Cambria" w:hAnsi="Cambria"/>
                <w:sz w:val="24"/>
                <w:szCs w:val="24"/>
              </w:rPr>
              <w:t>Ressources Humaines</w:t>
            </w:r>
          </w:p>
        </w:tc>
      </w:tr>
      <w:tr w:rsidR="006B3E78" w:rsidTr="006B3E78">
        <w:tc>
          <w:tcPr>
            <w:tcW w:w="2407" w:type="dxa"/>
          </w:tcPr>
          <w:p w:rsidR="006B3E78" w:rsidRDefault="0055554B" w:rsidP="005E13D9">
            <w:pPr>
              <w:rPr>
                <w:rFonts w:ascii="Cambria" w:hAnsi="Cambria"/>
                <w:sz w:val="24"/>
                <w:szCs w:val="24"/>
              </w:rPr>
            </w:pPr>
            <w:r>
              <w:rPr>
                <w:rFonts w:ascii="Cambria" w:hAnsi="Cambria"/>
                <w:sz w:val="24"/>
                <w:szCs w:val="24"/>
              </w:rPr>
              <w:t>Extraction automatique</w:t>
            </w:r>
          </w:p>
        </w:tc>
        <w:tc>
          <w:tcPr>
            <w:tcW w:w="2407" w:type="dxa"/>
          </w:tcPr>
          <w:p w:rsidR="006B3E78" w:rsidRDefault="0055554B" w:rsidP="005E13D9">
            <w:pPr>
              <w:rPr>
                <w:rFonts w:ascii="Cambria" w:hAnsi="Cambria"/>
                <w:sz w:val="24"/>
                <w:szCs w:val="24"/>
              </w:rPr>
            </w:pPr>
            <w:r>
              <w:rPr>
                <w:rFonts w:ascii="Cambria" w:hAnsi="Cambria"/>
                <w:sz w:val="24"/>
                <w:szCs w:val="24"/>
              </w:rPr>
              <w:t>Rapport de revue des séparateurs de fonctions</w:t>
            </w:r>
          </w:p>
        </w:tc>
        <w:tc>
          <w:tcPr>
            <w:tcW w:w="2407" w:type="dxa"/>
          </w:tcPr>
          <w:p w:rsidR="0055554B" w:rsidRDefault="0055554B" w:rsidP="005E13D9">
            <w:pPr>
              <w:rPr>
                <w:rFonts w:ascii="Cambria" w:hAnsi="Cambria"/>
                <w:sz w:val="24"/>
                <w:szCs w:val="24"/>
              </w:rPr>
            </w:pPr>
          </w:p>
          <w:p w:rsidR="0055554B" w:rsidRDefault="0055554B" w:rsidP="0055554B">
            <w:pPr>
              <w:ind w:firstLine="708"/>
              <w:rPr>
                <w:rFonts w:ascii="Cambria" w:hAnsi="Cambria"/>
                <w:sz w:val="24"/>
                <w:szCs w:val="24"/>
              </w:rPr>
            </w:pPr>
            <w:r>
              <w:rPr>
                <w:rFonts w:ascii="Cambria" w:hAnsi="Cambria"/>
                <w:sz w:val="24"/>
                <w:szCs w:val="24"/>
              </w:rPr>
              <w:t>Mensuelle</w:t>
            </w:r>
          </w:p>
          <w:p w:rsidR="006B3E78" w:rsidRPr="0055554B" w:rsidRDefault="006B3E78" w:rsidP="0055554B">
            <w:pPr>
              <w:jc w:val="center"/>
              <w:rPr>
                <w:rFonts w:ascii="Cambria" w:hAnsi="Cambria"/>
                <w:sz w:val="24"/>
                <w:szCs w:val="24"/>
              </w:rPr>
            </w:pPr>
          </w:p>
        </w:tc>
        <w:tc>
          <w:tcPr>
            <w:tcW w:w="2407" w:type="dxa"/>
          </w:tcPr>
          <w:p w:rsidR="0055554B" w:rsidRDefault="0055554B" w:rsidP="0055554B">
            <w:pPr>
              <w:rPr>
                <w:rFonts w:ascii="Cambria" w:hAnsi="Cambria"/>
                <w:sz w:val="24"/>
                <w:szCs w:val="24"/>
              </w:rPr>
            </w:pPr>
            <w:r w:rsidRPr="0055554B">
              <w:rPr>
                <w:rFonts w:ascii="Cambria" w:hAnsi="Cambria"/>
                <w:sz w:val="24"/>
                <w:szCs w:val="24"/>
              </w:rPr>
              <w:t>Directions Métier</w:t>
            </w:r>
          </w:p>
          <w:p w:rsidR="0055554B" w:rsidRPr="0055554B" w:rsidRDefault="0055554B" w:rsidP="0055554B">
            <w:pPr>
              <w:rPr>
                <w:rFonts w:ascii="Cambria" w:hAnsi="Cambria"/>
                <w:sz w:val="24"/>
                <w:szCs w:val="24"/>
              </w:rPr>
            </w:pPr>
          </w:p>
          <w:p w:rsidR="0055554B" w:rsidRPr="0055554B" w:rsidRDefault="0055554B" w:rsidP="0055554B">
            <w:pPr>
              <w:rPr>
                <w:rFonts w:ascii="Cambria" w:hAnsi="Cambria"/>
                <w:sz w:val="24"/>
                <w:szCs w:val="24"/>
              </w:rPr>
            </w:pPr>
            <w:r w:rsidRPr="0055554B">
              <w:rPr>
                <w:rFonts w:ascii="Cambria" w:hAnsi="Cambria"/>
                <w:sz w:val="24"/>
                <w:szCs w:val="24"/>
              </w:rPr>
              <w:t>R</w:t>
            </w:r>
            <w:r>
              <w:rPr>
                <w:rFonts w:ascii="Cambria" w:hAnsi="Cambria"/>
                <w:sz w:val="24"/>
                <w:szCs w:val="24"/>
              </w:rPr>
              <w:t xml:space="preserve">essources </w:t>
            </w:r>
            <w:r w:rsidRPr="0055554B">
              <w:rPr>
                <w:rFonts w:ascii="Cambria" w:hAnsi="Cambria"/>
                <w:sz w:val="24"/>
                <w:szCs w:val="24"/>
              </w:rPr>
              <w:t>H</w:t>
            </w:r>
            <w:r>
              <w:rPr>
                <w:rFonts w:ascii="Cambria" w:hAnsi="Cambria"/>
                <w:sz w:val="24"/>
                <w:szCs w:val="24"/>
              </w:rPr>
              <w:t>umaines</w:t>
            </w:r>
            <w:r w:rsidRPr="0055554B">
              <w:rPr>
                <w:rFonts w:ascii="Cambria" w:hAnsi="Cambria"/>
                <w:sz w:val="24"/>
                <w:szCs w:val="24"/>
              </w:rPr>
              <w:t xml:space="preserve"> </w:t>
            </w:r>
          </w:p>
          <w:p w:rsidR="006B3E78" w:rsidRDefault="006B3E78" w:rsidP="005E13D9">
            <w:pPr>
              <w:rPr>
                <w:rFonts w:ascii="Cambria" w:hAnsi="Cambria"/>
                <w:sz w:val="24"/>
                <w:szCs w:val="24"/>
              </w:rPr>
            </w:pPr>
          </w:p>
        </w:tc>
      </w:tr>
      <w:tr w:rsidR="006B3E78" w:rsidTr="006B3E78">
        <w:tc>
          <w:tcPr>
            <w:tcW w:w="2407" w:type="dxa"/>
          </w:tcPr>
          <w:p w:rsidR="006B3E78" w:rsidRDefault="0055554B" w:rsidP="005E13D9">
            <w:pPr>
              <w:rPr>
                <w:rFonts w:ascii="Cambria" w:hAnsi="Cambria"/>
                <w:sz w:val="24"/>
                <w:szCs w:val="24"/>
              </w:rPr>
            </w:pPr>
            <w:r>
              <w:rPr>
                <w:rFonts w:ascii="Cambria" w:hAnsi="Cambria"/>
                <w:sz w:val="24"/>
                <w:szCs w:val="24"/>
              </w:rPr>
              <w:t>Déclaratif</w:t>
            </w:r>
          </w:p>
        </w:tc>
        <w:tc>
          <w:tcPr>
            <w:tcW w:w="2407" w:type="dxa"/>
          </w:tcPr>
          <w:p w:rsidR="006B3E78" w:rsidRDefault="0055554B" w:rsidP="005E13D9">
            <w:pPr>
              <w:rPr>
                <w:rFonts w:ascii="Cambria" w:hAnsi="Cambria"/>
                <w:sz w:val="24"/>
                <w:szCs w:val="24"/>
              </w:rPr>
            </w:pPr>
            <w:r w:rsidRPr="0055554B">
              <w:rPr>
                <w:rFonts w:ascii="Cambria" w:hAnsi="Cambria"/>
                <w:sz w:val="24"/>
                <w:szCs w:val="24"/>
              </w:rPr>
              <w:t>Rapport de synthèse des écarts entre les listes des employés : RH et Direction Informatique</w:t>
            </w:r>
          </w:p>
        </w:tc>
        <w:tc>
          <w:tcPr>
            <w:tcW w:w="2407" w:type="dxa"/>
          </w:tcPr>
          <w:p w:rsidR="0055554B" w:rsidRDefault="0055554B" w:rsidP="005E13D9">
            <w:pPr>
              <w:rPr>
                <w:rFonts w:ascii="Cambria" w:hAnsi="Cambria"/>
                <w:sz w:val="24"/>
                <w:szCs w:val="24"/>
              </w:rPr>
            </w:pPr>
          </w:p>
          <w:p w:rsidR="0055554B" w:rsidRDefault="0055554B" w:rsidP="0055554B">
            <w:pPr>
              <w:rPr>
                <w:rFonts w:ascii="Cambria" w:hAnsi="Cambria"/>
                <w:sz w:val="24"/>
                <w:szCs w:val="24"/>
              </w:rPr>
            </w:pPr>
          </w:p>
          <w:p w:rsidR="006B3E78" w:rsidRPr="0055554B" w:rsidRDefault="0055554B" w:rsidP="0055554B">
            <w:pPr>
              <w:ind w:firstLine="708"/>
              <w:rPr>
                <w:rFonts w:ascii="Cambria" w:hAnsi="Cambria"/>
                <w:sz w:val="24"/>
                <w:szCs w:val="24"/>
              </w:rPr>
            </w:pPr>
            <w:r>
              <w:rPr>
                <w:rFonts w:ascii="Cambria" w:hAnsi="Cambria"/>
                <w:sz w:val="24"/>
                <w:szCs w:val="24"/>
              </w:rPr>
              <w:t>Mensuelle</w:t>
            </w:r>
          </w:p>
        </w:tc>
        <w:tc>
          <w:tcPr>
            <w:tcW w:w="2407" w:type="dxa"/>
          </w:tcPr>
          <w:p w:rsidR="0055554B" w:rsidRDefault="0055554B" w:rsidP="005E13D9">
            <w:pPr>
              <w:rPr>
                <w:rFonts w:ascii="Cambria" w:hAnsi="Cambria"/>
                <w:sz w:val="24"/>
                <w:szCs w:val="24"/>
              </w:rPr>
            </w:pPr>
          </w:p>
          <w:p w:rsidR="006B3E78" w:rsidRPr="0055554B" w:rsidRDefault="0055554B" w:rsidP="0055554B">
            <w:pPr>
              <w:rPr>
                <w:rFonts w:ascii="Cambria" w:hAnsi="Cambria"/>
                <w:sz w:val="24"/>
                <w:szCs w:val="24"/>
              </w:rPr>
            </w:pPr>
            <w:r>
              <w:rPr>
                <w:rFonts w:ascii="Cambria" w:hAnsi="Cambria"/>
                <w:sz w:val="24"/>
                <w:szCs w:val="24"/>
              </w:rPr>
              <w:t>Ressources Humaines</w:t>
            </w:r>
          </w:p>
        </w:tc>
      </w:tr>
    </w:tbl>
    <w:p w:rsidR="00CD34CE" w:rsidRPr="002B1A13" w:rsidRDefault="00CD34CE" w:rsidP="005E13D9">
      <w:pPr>
        <w:rPr>
          <w:rFonts w:ascii="Cambria" w:hAnsi="Cambria"/>
          <w:sz w:val="24"/>
          <w:szCs w:val="24"/>
        </w:rPr>
      </w:pPr>
      <w:bookmarkStart w:id="0" w:name="_GoBack"/>
      <w:bookmarkEnd w:id="0"/>
    </w:p>
    <w:p w:rsidR="0054793D" w:rsidRPr="0054793D" w:rsidRDefault="0054793D" w:rsidP="0054793D"/>
    <w:p w:rsidR="0054793D" w:rsidRPr="0054793D" w:rsidRDefault="0054793D" w:rsidP="0054793D"/>
    <w:p w:rsidR="005E13D9" w:rsidRPr="005E13D9" w:rsidRDefault="005E13D9" w:rsidP="005E13D9">
      <w:pPr>
        <w:spacing w:line="360" w:lineRule="auto"/>
        <w:jc w:val="both"/>
        <w:rPr>
          <w:rFonts w:ascii="Cambria" w:hAnsi="Cambria"/>
          <w:sz w:val="24"/>
          <w:szCs w:val="24"/>
        </w:rPr>
      </w:pPr>
    </w:p>
    <w:p w:rsidR="00286A4D" w:rsidRDefault="00286A4D" w:rsidP="00286A4D">
      <w:pPr>
        <w:ind w:left="360"/>
      </w:pPr>
    </w:p>
    <w:p w:rsidR="0010238C" w:rsidRDefault="0010238C"/>
    <w:sectPr w:rsidR="0010238C" w:rsidSect="00496E0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EF2" w:rsidRDefault="00075EF2" w:rsidP="00BE47BF">
      <w:pPr>
        <w:spacing w:after="0" w:line="240" w:lineRule="auto"/>
      </w:pPr>
      <w:r>
        <w:separator/>
      </w:r>
    </w:p>
  </w:endnote>
  <w:endnote w:type="continuationSeparator" w:id="0">
    <w:p w:rsidR="00075EF2" w:rsidRDefault="00075EF2" w:rsidP="00BE4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nion-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E7C" w:rsidRDefault="00890E7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E7C" w:rsidRDefault="00890E7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E7C" w:rsidRDefault="00890E7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EF2" w:rsidRDefault="00075EF2" w:rsidP="00BE47BF">
      <w:pPr>
        <w:spacing w:after="0" w:line="240" w:lineRule="auto"/>
      </w:pPr>
      <w:r>
        <w:separator/>
      </w:r>
    </w:p>
  </w:footnote>
  <w:footnote w:type="continuationSeparator" w:id="0">
    <w:p w:rsidR="00075EF2" w:rsidRDefault="00075EF2" w:rsidP="00BE4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7BF" w:rsidRDefault="00075EF2">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5415" o:spid="_x0000_s2050" type="#_x0000_t75" style="position:absolute;margin-left:0;margin-top:0;width:595.2pt;height:841.9pt;z-index:-251657216;mso-position-horizontal:center;mso-position-horizontal-relative:margin;mso-position-vertical:center;mso-position-vertical-relative:margin" o:allowincell="f">
          <v:imagedata r:id="rId1" o:title="entete bénin 202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7BF" w:rsidRDefault="00075EF2">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5416" o:spid="_x0000_s2051" type="#_x0000_t75" style="position:absolute;margin-left:-56.8pt;margin-top:-48.9pt;width:595.2pt;height:841.9pt;z-index:-251656192;mso-position-horizontal-relative:margin;mso-position-vertical-relative:margin" o:allowincell="f">
          <v:imagedata r:id="rId1" o:title="entete bénin 202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7BF" w:rsidRDefault="00075EF2">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5414" o:spid="_x0000_s2049" type="#_x0000_t75" style="position:absolute;margin-left:0;margin-top:0;width:595.2pt;height:841.9pt;z-index:-251658240;mso-position-horizontal:center;mso-position-horizontal-relative:margin;mso-position-vertical:center;mso-position-vertical-relative:margin" o:allowincell="f">
          <v:imagedata r:id="rId1" o:title="entete bénin 202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11.6pt;height:11.6pt" o:bullet="t">
        <v:imagedata r:id="rId1" o:title="j0115834"/>
      </v:shape>
    </w:pict>
  </w:numPicBullet>
  <w:numPicBullet w:numPicBulletId="1">
    <w:pict>
      <v:shape id="_x0000_i1175" type="#_x0000_t75" style="width:9.95pt;height:9.95pt" o:bullet="t">
        <v:imagedata r:id="rId2" o:title="BD21298_"/>
      </v:shape>
    </w:pict>
  </w:numPicBullet>
  <w:abstractNum w:abstractNumId="0" w15:restartNumberingAfterBreak="0">
    <w:nsid w:val="074109A2"/>
    <w:multiLevelType w:val="hybridMultilevel"/>
    <w:tmpl w:val="7CDA30CE"/>
    <w:lvl w:ilvl="0" w:tplc="67A455F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7A1586"/>
    <w:multiLevelType w:val="hybridMultilevel"/>
    <w:tmpl w:val="CAFE29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AA1E68"/>
    <w:multiLevelType w:val="hybridMultilevel"/>
    <w:tmpl w:val="E87C5B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7F96A50"/>
    <w:multiLevelType w:val="hybridMultilevel"/>
    <w:tmpl w:val="89CCF3FC"/>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4" w15:restartNumberingAfterBreak="0">
    <w:nsid w:val="2B59304B"/>
    <w:multiLevelType w:val="hybridMultilevel"/>
    <w:tmpl w:val="6F1A9504"/>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5" w15:restartNumberingAfterBreak="0">
    <w:nsid w:val="2E024A6B"/>
    <w:multiLevelType w:val="hybridMultilevel"/>
    <w:tmpl w:val="6D40CDEC"/>
    <w:lvl w:ilvl="0" w:tplc="6684669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5DE4391"/>
    <w:multiLevelType w:val="hybridMultilevel"/>
    <w:tmpl w:val="A86CD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F82F5A"/>
    <w:multiLevelType w:val="hybridMultilevel"/>
    <w:tmpl w:val="72825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07201C"/>
    <w:multiLevelType w:val="multilevel"/>
    <w:tmpl w:val="77EAD540"/>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EBE3DD5"/>
    <w:multiLevelType w:val="hybridMultilevel"/>
    <w:tmpl w:val="BF70D65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537753BB"/>
    <w:multiLevelType w:val="hybridMultilevel"/>
    <w:tmpl w:val="5E6CAFBE"/>
    <w:lvl w:ilvl="0" w:tplc="67A455F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DC7610"/>
    <w:multiLevelType w:val="hybridMultilevel"/>
    <w:tmpl w:val="0A606FC2"/>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12" w15:restartNumberingAfterBreak="0">
    <w:nsid w:val="5C6A152F"/>
    <w:multiLevelType w:val="hybridMultilevel"/>
    <w:tmpl w:val="887A34C6"/>
    <w:lvl w:ilvl="0" w:tplc="420650F0">
      <w:start w:val="5"/>
      <w:numFmt w:val="bullet"/>
      <w:lvlText w:val=""/>
      <w:lvlPicBulletId w:val="0"/>
      <w:lvlJc w:val="left"/>
      <w:pPr>
        <w:ind w:left="436" w:hanging="360"/>
      </w:pPr>
      <w:rPr>
        <w:rFonts w:ascii="Symbol" w:eastAsia="Times New Roman" w:hAnsi="Symbol" w:cs="Times New Roman" w:hint="default"/>
        <w:color w:val="auto"/>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5E1B7910"/>
    <w:multiLevelType w:val="multilevel"/>
    <w:tmpl w:val="77EAD540"/>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EB228C5"/>
    <w:multiLevelType w:val="hybridMultilevel"/>
    <w:tmpl w:val="982EB620"/>
    <w:lvl w:ilvl="0" w:tplc="E27C707E">
      <w:start w:val="1"/>
      <w:numFmt w:val="bullet"/>
      <w:lvlText w:val=""/>
      <w:lvlPicBulletId w:val="1"/>
      <w:lvlJc w:val="left"/>
      <w:pPr>
        <w:ind w:left="1156" w:hanging="360"/>
      </w:pPr>
      <w:rPr>
        <w:rFonts w:ascii="Symbol" w:hAnsi="Symbol" w:hint="default"/>
        <w:color w:val="auto"/>
      </w:rPr>
    </w:lvl>
    <w:lvl w:ilvl="1" w:tplc="040C0003" w:tentative="1">
      <w:start w:val="1"/>
      <w:numFmt w:val="bullet"/>
      <w:lvlText w:val="o"/>
      <w:lvlJc w:val="left"/>
      <w:pPr>
        <w:ind w:left="1876" w:hanging="360"/>
      </w:pPr>
      <w:rPr>
        <w:rFonts w:ascii="Courier New" w:hAnsi="Courier New" w:cs="Courier New" w:hint="default"/>
      </w:rPr>
    </w:lvl>
    <w:lvl w:ilvl="2" w:tplc="040C0005" w:tentative="1">
      <w:start w:val="1"/>
      <w:numFmt w:val="bullet"/>
      <w:lvlText w:val=""/>
      <w:lvlJc w:val="left"/>
      <w:pPr>
        <w:ind w:left="2596" w:hanging="360"/>
      </w:pPr>
      <w:rPr>
        <w:rFonts w:ascii="Wingdings" w:hAnsi="Wingdings" w:hint="default"/>
      </w:rPr>
    </w:lvl>
    <w:lvl w:ilvl="3" w:tplc="040C0001" w:tentative="1">
      <w:start w:val="1"/>
      <w:numFmt w:val="bullet"/>
      <w:lvlText w:val=""/>
      <w:lvlJc w:val="left"/>
      <w:pPr>
        <w:ind w:left="3316" w:hanging="360"/>
      </w:pPr>
      <w:rPr>
        <w:rFonts w:ascii="Symbol" w:hAnsi="Symbol" w:hint="default"/>
      </w:rPr>
    </w:lvl>
    <w:lvl w:ilvl="4" w:tplc="040C0003" w:tentative="1">
      <w:start w:val="1"/>
      <w:numFmt w:val="bullet"/>
      <w:lvlText w:val="o"/>
      <w:lvlJc w:val="left"/>
      <w:pPr>
        <w:ind w:left="4036" w:hanging="360"/>
      </w:pPr>
      <w:rPr>
        <w:rFonts w:ascii="Courier New" w:hAnsi="Courier New" w:cs="Courier New" w:hint="default"/>
      </w:rPr>
    </w:lvl>
    <w:lvl w:ilvl="5" w:tplc="040C0005" w:tentative="1">
      <w:start w:val="1"/>
      <w:numFmt w:val="bullet"/>
      <w:lvlText w:val=""/>
      <w:lvlJc w:val="left"/>
      <w:pPr>
        <w:ind w:left="4756" w:hanging="360"/>
      </w:pPr>
      <w:rPr>
        <w:rFonts w:ascii="Wingdings" w:hAnsi="Wingdings" w:hint="default"/>
      </w:rPr>
    </w:lvl>
    <w:lvl w:ilvl="6" w:tplc="040C0001" w:tentative="1">
      <w:start w:val="1"/>
      <w:numFmt w:val="bullet"/>
      <w:lvlText w:val=""/>
      <w:lvlJc w:val="left"/>
      <w:pPr>
        <w:ind w:left="5476" w:hanging="360"/>
      </w:pPr>
      <w:rPr>
        <w:rFonts w:ascii="Symbol" w:hAnsi="Symbol" w:hint="default"/>
      </w:rPr>
    </w:lvl>
    <w:lvl w:ilvl="7" w:tplc="040C0003" w:tentative="1">
      <w:start w:val="1"/>
      <w:numFmt w:val="bullet"/>
      <w:lvlText w:val="o"/>
      <w:lvlJc w:val="left"/>
      <w:pPr>
        <w:ind w:left="6196" w:hanging="360"/>
      </w:pPr>
      <w:rPr>
        <w:rFonts w:ascii="Courier New" w:hAnsi="Courier New" w:cs="Courier New" w:hint="default"/>
      </w:rPr>
    </w:lvl>
    <w:lvl w:ilvl="8" w:tplc="040C0005" w:tentative="1">
      <w:start w:val="1"/>
      <w:numFmt w:val="bullet"/>
      <w:lvlText w:val=""/>
      <w:lvlJc w:val="left"/>
      <w:pPr>
        <w:ind w:left="6916" w:hanging="360"/>
      </w:pPr>
      <w:rPr>
        <w:rFonts w:ascii="Wingdings" w:hAnsi="Wingdings" w:hint="default"/>
      </w:rPr>
    </w:lvl>
  </w:abstractNum>
  <w:abstractNum w:abstractNumId="15" w15:restartNumberingAfterBreak="0">
    <w:nsid w:val="64E4521F"/>
    <w:multiLevelType w:val="hybridMultilevel"/>
    <w:tmpl w:val="9B663B36"/>
    <w:lvl w:ilvl="0" w:tplc="80DCF2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F3445CD"/>
    <w:multiLevelType w:val="hybridMultilevel"/>
    <w:tmpl w:val="8FF89BEC"/>
    <w:lvl w:ilvl="0" w:tplc="3858163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4"/>
  </w:num>
  <w:num w:numId="3">
    <w:abstractNumId w:val="16"/>
  </w:num>
  <w:num w:numId="4">
    <w:abstractNumId w:val="1"/>
  </w:num>
  <w:num w:numId="5">
    <w:abstractNumId w:val="7"/>
  </w:num>
  <w:num w:numId="6">
    <w:abstractNumId w:val="13"/>
  </w:num>
  <w:num w:numId="7">
    <w:abstractNumId w:val="15"/>
  </w:num>
  <w:num w:numId="8">
    <w:abstractNumId w:val="9"/>
  </w:num>
  <w:num w:numId="9">
    <w:abstractNumId w:val="3"/>
  </w:num>
  <w:num w:numId="10">
    <w:abstractNumId w:val="4"/>
  </w:num>
  <w:num w:numId="11">
    <w:abstractNumId w:val="6"/>
  </w:num>
  <w:num w:numId="12">
    <w:abstractNumId w:val="11"/>
  </w:num>
  <w:num w:numId="13">
    <w:abstractNumId w:val="8"/>
  </w:num>
  <w:num w:numId="14">
    <w:abstractNumId w:val="10"/>
  </w:num>
  <w:num w:numId="15">
    <w:abstractNumId w:val="2"/>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BF"/>
    <w:rsid w:val="000160A5"/>
    <w:rsid w:val="000561AC"/>
    <w:rsid w:val="00075EF2"/>
    <w:rsid w:val="00082F0B"/>
    <w:rsid w:val="000A1770"/>
    <w:rsid w:val="000A3164"/>
    <w:rsid w:val="000E77E0"/>
    <w:rsid w:val="0010238C"/>
    <w:rsid w:val="00171706"/>
    <w:rsid w:val="00177E8C"/>
    <w:rsid w:val="001850FC"/>
    <w:rsid w:val="00195000"/>
    <w:rsid w:val="00227736"/>
    <w:rsid w:val="0024398C"/>
    <w:rsid w:val="00260A52"/>
    <w:rsid w:val="00286A4D"/>
    <w:rsid w:val="00294756"/>
    <w:rsid w:val="002B1A13"/>
    <w:rsid w:val="002F3942"/>
    <w:rsid w:val="00311C8F"/>
    <w:rsid w:val="0035407B"/>
    <w:rsid w:val="00371B5C"/>
    <w:rsid w:val="003B3649"/>
    <w:rsid w:val="003B5B47"/>
    <w:rsid w:val="003D59E4"/>
    <w:rsid w:val="003F41C4"/>
    <w:rsid w:val="003F5756"/>
    <w:rsid w:val="00446178"/>
    <w:rsid w:val="00496E04"/>
    <w:rsid w:val="004C23D0"/>
    <w:rsid w:val="004E6447"/>
    <w:rsid w:val="00501133"/>
    <w:rsid w:val="005207EA"/>
    <w:rsid w:val="0054793D"/>
    <w:rsid w:val="005519F0"/>
    <w:rsid w:val="0055554B"/>
    <w:rsid w:val="00580B3B"/>
    <w:rsid w:val="005E13D9"/>
    <w:rsid w:val="005F34FB"/>
    <w:rsid w:val="00645F03"/>
    <w:rsid w:val="006900DC"/>
    <w:rsid w:val="006B28F4"/>
    <w:rsid w:val="006B3E78"/>
    <w:rsid w:val="0071254A"/>
    <w:rsid w:val="00774CBB"/>
    <w:rsid w:val="00793A38"/>
    <w:rsid w:val="00807769"/>
    <w:rsid w:val="00861F56"/>
    <w:rsid w:val="00867629"/>
    <w:rsid w:val="00877964"/>
    <w:rsid w:val="00890E7C"/>
    <w:rsid w:val="008957A5"/>
    <w:rsid w:val="008C5B12"/>
    <w:rsid w:val="008F7BFE"/>
    <w:rsid w:val="00903E11"/>
    <w:rsid w:val="00953E57"/>
    <w:rsid w:val="00955284"/>
    <w:rsid w:val="009638C7"/>
    <w:rsid w:val="009846F9"/>
    <w:rsid w:val="00A062E8"/>
    <w:rsid w:val="00A3781E"/>
    <w:rsid w:val="00A87CE4"/>
    <w:rsid w:val="00AB63FC"/>
    <w:rsid w:val="00AC0417"/>
    <w:rsid w:val="00B556F8"/>
    <w:rsid w:val="00BE47BF"/>
    <w:rsid w:val="00BF3B99"/>
    <w:rsid w:val="00C13F08"/>
    <w:rsid w:val="00C15549"/>
    <w:rsid w:val="00C26DE6"/>
    <w:rsid w:val="00C35F03"/>
    <w:rsid w:val="00C52FF2"/>
    <w:rsid w:val="00CB1DC1"/>
    <w:rsid w:val="00CD34CE"/>
    <w:rsid w:val="00CD393C"/>
    <w:rsid w:val="00D32F5E"/>
    <w:rsid w:val="00D431BC"/>
    <w:rsid w:val="00D758F7"/>
    <w:rsid w:val="00E663F7"/>
    <w:rsid w:val="00E84642"/>
    <w:rsid w:val="00E92A8D"/>
    <w:rsid w:val="00EC687D"/>
    <w:rsid w:val="00EF3547"/>
    <w:rsid w:val="00F04AC9"/>
    <w:rsid w:val="00F11697"/>
    <w:rsid w:val="00F43CCB"/>
    <w:rsid w:val="00F7460C"/>
    <w:rsid w:val="00FB5C81"/>
    <w:rsid w:val="00FE53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9E30717-3EA3-4954-AD69-24EC2F83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E77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286A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5E13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47BF"/>
    <w:pPr>
      <w:tabs>
        <w:tab w:val="center" w:pos="4536"/>
        <w:tab w:val="right" w:pos="9072"/>
      </w:tabs>
      <w:spacing w:after="0" w:line="240" w:lineRule="auto"/>
    </w:pPr>
  </w:style>
  <w:style w:type="character" w:customStyle="1" w:styleId="En-tteCar">
    <w:name w:val="En-tête Car"/>
    <w:basedOn w:val="Policepardfaut"/>
    <w:link w:val="En-tte"/>
    <w:uiPriority w:val="99"/>
    <w:rsid w:val="00BE47BF"/>
  </w:style>
  <w:style w:type="paragraph" w:styleId="Pieddepage">
    <w:name w:val="footer"/>
    <w:basedOn w:val="Normal"/>
    <w:link w:val="PieddepageCar"/>
    <w:uiPriority w:val="99"/>
    <w:unhideWhenUsed/>
    <w:rsid w:val="00BE47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47BF"/>
  </w:style>
  <w:style w:type="paragraph" w:styleId="Textedebulles">
    <w:name w:val="Balloon Text"/>
    <w:basedOn w:val="Normal"/>
    <w:link w:val="TextedebullesCar"/>
    <w:uiPriority w:val="99"/>
    <w:semiHidden/>
    <w:unhideWhenUsed/>
    <w:rsid w:val="003B36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3649"/>
    <w:rPr>
      <w:rFonts w:ascii="Segoe UI" w:hAnsi="Segoe UI" w:cs="Segoe UI"/>
      <w:sz w:val="18"/>
      <w:szCs w:val="18"/>
    </w:rPr>
  </w:style>
  <w:style w:type="paragraph" w:styleId="NormalWeb">
    <w:name w:val="Normal (Web)"/>
    <w:basedOn w:val="Normal"/>
    <w:uiPriority w:val="99"/>
    <w:unhideWhenUsed/>
    <w:rsid w:val="001023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82F0B"/>
    <w:pPr>
      <w:ind w:left="720"/>
      <w:contextualSpacing/>
    </w:pPr>
  </w:style>
  <w:style w:type="character" w:customStyle="1" w:styleId="Titre1Car">
    <w:name w:val="Titre 1 Car"/>
    <w:basedOn w:val="Policepardfaut"/>
    <w:link w:val="Titre1"/>
    <w:uiPriority w:val="9"/>
    <w:rsid w:val="000E77E0"/>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286A4D"/>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5E13D9"/>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uiPriority w:val="59"/>
    <w:rsid w:val="004E6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177E8C"/>
    <w:rPr>
      <w:color w:val="0000FF"/>
      <w:u w:val="single"/>
    </w:rPr>
  </w:style>
  <w:style w:type="character" w:styleId="lev">
    <w:name w:val="Strong"/>
    <w:basedOn w:val="Policepardfaut"/>
    <w:uiPriority w:val="22"/>
    <w:qFormat/>
    <w:rsid w:val="00551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27748">
      <w:bodyDiv w:val="1"/>
      <w:marLeft w:val="0"/>
      <w:marRight w:val="0"/>
      <w:marTop w:val="0"/>
      <w:marBottom w:val="0"/>
      <w:divBdr>
        <w:top w:val="none" w:sz="0" w:space="0" w:color="auto"/>
        <w:left w:val="none" w:sz="0" w:space="0" w:color="auto"/>
        <w:bottom w:val="none" w:sz="0" w:space="0" w:color="auto"/>
        <w:right w:val="none" w:sz="0" w:space="0" w:color="auto"/>
      </w:divBdr>
    </w:div>
    <w:div w:id="1448433115">
      <w:bodyDiv w:val="1"/>
      <w:marLeft w:val="0"/>
      <w:marRight w:val="0"/>
      <w:marTop w:val="0"/>
      <w:marBottom w:val="0"/>
      <w:divBdr>
        <w:top w:val="none" w:sz="0" w:space="0" w:color="auto"/>
        <w:left w:val="none" w:sz="0" w:space="0" w:color="auto"/>
        <w:bottom w:val="none" w:sz="0" w:space="0" w:color="auto"/>
        <w:right w:val="none" w:sz="0" w:space="0" w:color="auto"/>
      </w:divBdr>
    </w:div>
    <w:div w:id="213798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EB18B-35DB-43B2-AF51-2049105F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5</Pages>
  <Words>1455</Words>
  <Characters>8007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Germaine TOHON</dc:creator>
  <cp:lastModifiedBy>hp</cp:lastModifiedBy>
  <cp:revision>10</cp:revision>
  <cp:lastPrinted>2020-09-01T17:25:00Z</cp:lastPrinted>
  <dcterms:created xsi:type="dcterms:W3CDTF">2022-01-31T11:00:00Z</dcterms:created>
  <dcterms:modified xsi:type="dcterms:W3CDTF">2022-02-16T09:04:00Z</dcterms:modified>
</cp:coreProperties>
</file>